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D2" w:rsidRPr="00725C81" w:rsidRDefault="00A402D2" w:rsidP="00A402D2">
      <w:pPr>
        <w:tabs>
          <w:tab w:val="left" w:pos="720"/>
          <w:tab w:val="center" w:pos="4153"/>
          <w:tab w:val="right" w:pos="8306"/>
        </w:tabs>
        <w:autoSpaceDE w:val="0"/>
        <w:autoSpaceDN w:val="0"/>
        <w:rPr>
          <w:rFonts w:ascii="Arial" w:hAnsi="Arial" w:cs="Arial"/>
          <w:b/>
        </w:rPr>
      </w:pPr>
      <w:r w:rsidRPr="00725C81">
        <w:rPr>
          <w:rFonts w:ascii="Arial" w:hAnsi="Arial" w:cs="Arial"/>
          <w:b/>
        </w:rPr>
        <w:t>West Area Planning Committee</w:t>
      </w:r>
    </w:p>
    <w:tbl>
      <w:tblPr>
        <w:tblW w:w="0" w:type="auto"/>
        <w:tblLayout w:type="fixed"/>
        <w:tblLook w:val="04A0" w:firstRow="1" w:lastRow="0" w:firstColumn="1" w:lastColumn="0" w:noHBand="0" w:noVBand="1"/>
      </w:tblPr>
      <w:tblGrid>
        <w:gridCol w:w="5495"/>
        <w:gridCol w:w="3793"/>
      </w:tblGrid>
      <w:tr w:rsidR="00A402D2" w:rsidRPr="00725C81" w:rsidTr="00A402D2">
        <w:tc>
          <w:tcPr>
            <w:tcW w:w="5495" w:type="dxa"/>
          </w:tcPr>
          <w:p w:rsidR="00A402D2" w:rsidRPr="00725C81" w:rsidRDefault="00A402D2" w:rsidP="00A402D2">
            <w:pPr>
              <w:widowControl w:val="0"/>
              <w:autoSpaceDE w:val="0"/>
              <w:autoSpaceDN w:val="0"/>
              <w:spacing w:line="276" w:lineRule="auto"/>
              <w:ind w:right="397"/>
              <w:jc w:val="both"/>
              <w:rPr>
                <w:rFonts w:ascii="Arial" w:hAnsi="Arial" w:cs="Arial"/>
                <w:b/>
                <w:bCs/>
              </w:rPr>
            </w:pPr>
          </w:p>
          <w:p w:rsidR="00A402D2" w:rsidRPr="00725C81" w:rsidRDefault="00A402D2" w:rsidP="00A402D2">
            <w:pPr>
              <w:widowControl w:val="0"/>
              <w:autoSpaceDE w:val="0"/>
              <w:autoSpaceDN w:val="0"/>
              <w:spacing w:line="276" w:lineRule="auto"/>
              <w:ind w:right="397"/>
              <w:jc w:val="both"/>
              <w:rPr>
                <w:rFonts w:ascii="Arial" w:hAnsi="Arial" w:cs="Arial"/>
                <w:b/>
                <w:bCs/>
              </w:rPr>
            </w:pPr>
          </w:p>
        </w:tc>
        <w:tc>
          <w:tcPr>
            <w:tcW w:w="3793" w:type="dxa"/>
          </w:tcPr>
          <w:p w:rsidR="00A402D2" w:rsidRPr="00725C81" w:rsidRDefault="00A402D2" w:rsidP="00A402D2">
            <w:pPr>
              <w:widowControl w:val="0"/>
              <w:autoSpaceDE w:val="0"/>
              <w:autoSpaceDN w:val="0"/>
              <w:spacing w:line="276" w:lineRule="auto"/>
              <w:ind w:right="397"/>
              <w:jc w:val="right"/>
              <w:rPr>
                <w:rFonts w:ascii="Arial" w:hAnsi="Arial" w:cs="Arial"/>
                <w:b/>
              </w:rPr>
            </w:pPr>
          </w:p>
          <w:p w:rsidR="00A402D2" w:rsidRPr="00725C81" w:rsidRDefault="00A402D2" w:rsidP="00A402D2">
            <w:pPr>
              <w:widowControl w:val="0"/>
              <w:autoSpaceDE w:val="0"/>
              <w:autoSpaceDN w:val="0"/>
              <w:spacing w:line="276" w:lineRule="auto"/>
              <w:ind w:right="397"/>
              <w:jc w:val="right"/>
              <w:rPr>
                <w:rFonts w:ascii="Arial" w:hAnsi="Arial" w:cs="Arial"/>
              </w:rPr>
            </w:pPr>
            <w:r w:rsidRPr="00725C81">
              <w:rPr>
                <w:rFonts w:ascii="Arial" w:hAnsi="Arial" w:cs="Arial"/>
              </w:rPr>
              <w:t>5</w:t>
            </w:r>
            <w:r w:rsidRPr="00725C81">
              <w:rPr>
                <w:rFonts w:ascii="Arial" w:hAnsi="Arial" w:cs="Arial"/>
                <w:vertAlign w:val="superscript"/>
              </w:rPr>
              <w:t>th</w:t>
            </w:r>
            <w:r w:rsidRPr="00725C81">
              <w:rPr>
                <w:rFonts w:ascii="Arial" w:hAnsi="Arial" w:cs="Arial"/>
              </w:rPr>
              <w:t xml:space="preserve"> January 2016</w:t>
            </w:r>
          </w:p>
        </w:tc>
      </w:tr>
    </w:tbl>
    <w:p w:rsidR="005863F7" w:rsidRPr="00725C81" w:rsidRDefault="005863F7">
      <w:pPr>
        <w:rPr>
          <w:rFonts w:ascii="Arial" w:hAnsi="Arial" w:cs="Arial"/>
        </w:rPr>
      </w:pPr>
    </w:p>
    <w:tbl>
      <w:tblPr>
        <w:tblW w:w="0" w:type="auto"/>
        <w:tblLook w:val="0000" w:firstRow="0" w:lastRow="0" w:firstColumn="0" w:lastColumn="0" w:noHBand="0" w:noVBand="0"/>
      </w:tblPr>
      <w:tblGrid>
        <w:gridCol w:w="2508"/>
        <w:gridCol w:w="6014"/>
      </w:tblGrid>
      <w:tr w:rsidR="004D197B" w:rsidRPr="00725C81" w:rsidTr="005863F7">
        <w:tc>
          <w:tcPr>
            <w:tcW w:w="2508" w:type="dxa"/>
            <w:tcBorders>
              <w:top w:val="nil"/>
              <w:left w:val="nil"/>
              <w:bottom w:val="nil"/>
              <w:right w:val="nil"/>
            </w:tcBorders>
          </w:tcPr>
          <w:p w:rsidR="004D197B" w:rsidRPr="00725C81" w:rsidRDefault="004D197B" w:rsidP="004D197B">
            <w:pPr>
              <w:rPr>
                <w:rFonts w:ascii="Arial" w:hAnsi="Arial" w:cs="Arial"/>
              </w:rPr>
            </w:pPr>
            <w:r w:rsidRPr="00725C81">
              <w:rPr>
                <w:rFonts w:ascii="Arial" w:hAnsi="Arial" w:cs="Arial"/>
                <w:b/>
                <w:bCs/>
              </w:rPr>
              <w:t>Application Number:</w:t>
            </w:r>
          </w:p>
        </w:tc>
        <w:tc>
          <w:tcPr>
            <w:tcW w:w="6014" w:type="dxa"/>
            <w:tcBorders>
              <w:top w:val="nil"/>
              <w:left w:val="nil"/>
              <w:bottom w:val="nil"/>
              <w:right w:val="nil"/>
            </w:tcBorders>
          </w:tcPr>
          <w:p w:rsidR="004D197B" w:rsidRPr="00725C81" w:rsidRDefault="005863F7" w:rsidP="004D197B">
            <w:pPr>
              <w:rPr>
                <w:rFonts w:ascii="Arial" w:hAnsi="Arial" w:cs="Arial"/>
              </w:rPr>
            </w:pPr>
            <w:r w:rsidRPr="00725C81">
              <w:rPr>
                <w:rFonts w:ascii="Arial" w:hAnsi="Arial" w:cs="Arial"/>
              </w:rPr>
              <w:t>15/01733/FUL</w:t>
            </w:r>
          </w:p>
        </w:tc>
      </w:tr>
      <w:tr w:rsidR="004D197B" w:rsidRPr="00725C81" w:rsidTr="005863F7">
        <w:tc>
          <w:tcPr>
            <w:tcW w:w="2508" w:type="dxa"/>
            <w:tcBorders>
              <w:top w:val="nil"/>
              <w:left w:val="nil"/>
              <w:bottom w:val="nil"/>
              <w:right w:val="nil"/>
            </w:tcBorders>
          </w:tcPr>
          <w:p w:rsidR="004D197B" w:rsidRPr="00725C81" w:rsidRDefault="004D197B" w:rsidP="004D197B">
            <w:pPr>
              <w:rPr>
                <w:rFonts w:ascii="Arial" w:hAnsi="Arial" w:cs="Arial"/>
              </w:rPr>
            </w:pPr>
          </w:p>
        </w:tc>
        <w:tc>
          <w:tcPr>
            <w:tcW w:w="6014" w:type="dxa"/>
            <w:tcBorders>
              <w:top w:val="nil"/>
              <w:left w:val="nil"/>
              <w:bottom w:val="nil"/>
              <w:right w:val="nil"/>
            </w:tcBorders>
          </w:tcPr>
          <w:p w:rsidR="004D197B" w:rsidRPr="00725C81" w:rsidRDefault="004D197B" w:rsidP="004D197B">
            <w:pPr>
              <w:rPr>
                <w:rFonts w:ascii="Arial" w:hAnsi="Arial" w:cs="Arial"/>
              </w:rPr>
            </w:pPr>
          </w:p>
        </w:tc>
      </w:tr>
      <w:tr w:rsidR="004D197B" w:rsidRPr="00725C81" w:rsidTr="005863F7">
        <w:tc>
          <w:tcPr>
            <w:tcW w:w="2508" w:type="dxa"/>
            <w:tcBorders>
              <w:top w:val="nil"/>
              <w:left w:val="nil"/>
              <w:bottom w:val="nil"/>
              <w:right w:val="nil"/>
            </w:tcBorders>
          </w:tcPr>
          <w:p w:rsidR="004D197B" w:rsidRPr="00725C81" w:rsidRDefault="004D197B" w:rsidP="004D197B">
            <w:pPr>
              <w:rPr>
                <w:rFonts w:ascii="Arial" w:hAnsi="Arial" w:cs="Arial"/>
              </w:rPr>
            </w:pPr>
            <w:r w:rsidRPr="00725C81">
              <w:rPr>
                <w:rFonts w:ascii="Arial" w:hAnsi="Arial" w:cs="Arial"/>
                <w:b/>
                <w:bCs/>
              </w:rPr>
              <w:t>Decision Due by:</w:t>
            </w:r>
          </w:p>
        </w:tc>
        <w:tc>
          <w:tcPr>
            <w:tcW w:w="6014" w:type="dxa"/>
            <w:tcBorders>
              <w:top w:val="nil"/>
              <w:left w:val="nil"/>
              <w:bottom w:val="nil"/>
              <w:right w:val="nil"/>
            </w:tcBorders>
          </w:tcPr>
          <w:p w:rsidR="004D197B" w:rsidRPr="00725C81" w:rsidRDefault="005863F7" w:rsidP="005863F7">
            <w:pPr>
              <w:jc w:val="both"/>
              <w:rPr>
                <w:rFonts w:ascii="Arial" w:hAnsi="Arial" w:cs="Arial"/>
              </w:rPr>
            </w:pPr>
            <w:r w:rsidRPr="00725C81">
              <w:rPr>
                <w:rFonts w:ascii="Arial" w:hAnsi="Arial" w:cs="Arial"/>
              </w:rPr>
              <w:t>3</w:t>
            </w:r>
            <w:r w:rsidRPr="00725C81">
              <w:rPr>
                <w:rFonts w:ascii="Arial" w:hAnsi="Arial" w:cs="Arial"/>
                <w:vertAlign w:val="superscript"/>
              </w:rPr>
              <w:t>rd</w:t>
            </w:r>
            <w:r w:rsidRPr="00725C81">
              <w:rPr>
                <w:rFonts w:ascii="Arial" w:hAnsi="Arial" w:cs="Arial"/>
              </w:rPr>
              <w:t xml:space="preserve"> August 2015</w:t>
            </w:r>
          </w:p>
        </w:tc>
      </w:tr>
      <w:tr w:rsidR="004D197B" w:rsidRPr="00725C81" w:rsidTr="005863F7">
        <w:tc>
          <w:tcPr>
            <w:tcW w:w="2508" w:type="dxa"/>
            <w:tcBorders>
              <w:top w:val="nil"/>
              <w:left w:val="nil"/>
              <w:bottom w:val="nil"/>
              <w:right w:val="nil"/>
            </w:tcBorders>
          </w:tcPr>
          <w:p w:rsidR="004D197B" w:rsidRPr="00725C81" w:rsidRDefault="004D197B" w:rsidP="004D197B">
            <w:pPr>
              <w:rPr>
                <w:rFonts w:ascii="Arial" w:hAnsi="Arial" w:cs="Arial"/>
              </w:rPr>
            </w:pPr>
          </w:p>
        </w:tc>
        <w:tc>
          <w:tcPr>
            <w:tcW w:w="6014" w:type="dxa"/>
            <w:tcBorders>
              <w:top w:val="nil"/>
              <w:left w:val="nil"/>
              <w:bottom w:val="nil"/>
              <w:right w:val="nil"/>
            </w:tcBorders>
          </w:tcPr>
          <w:p w:rsidR="004D197B" w:rsidRPr="00725C81" w:rsidRDefault="004D197B" w:rsidP="004D197B">
            <w:pPr>
              <w:jc w:val="both"/>
              <w:rPr>
                <w:rFonts w:ascii="Arial" w:hAnsi="Arial" w:cs="Arial"/>
              </w:rPr>
            </w:pPr>
          </w:p>
        </w:tc>
      </w:tr>
      <w:tr w:rsidR="004D197B" w:rsidRPr="00725C81" w:rsidTr="005863F7">
        <w:tc>
          <w:tcPr>
            <w:tcW w:w="2508" w:type="dxa"/>
            <w:tcBorders>
              <w:top w:val="nil"/>
              <w:left w:val="nil"/>
              <w:bottom w:val="nil"/>
              <w:right w:val="nil"/>
            </w:tcBorders>
          </w:tcPr>
          <w:p w:rsidR="004D197B" w:rsidRPr="00725C81" w:rsidRDefault="004D197B" w:rsidP="004D197B">
            <w:pPr>
              <w:rPr>
                <w:rFonts w:ascii="Arial" w:hAnsi="Arial" w:cs="Arial"/>
                <w:b/>
                <w:bCs/>
              </w:rPr>
            </w:pPr>
            <w:r w:rsidRPr="00725C81">
              <w:rPr>
                <w:rFonts w:ascii="Arial" w:hAnsi="Arial" w:cs="Arial"/>
                <w:b/>
                <w:bCs/>
              </w:rPr>
              <w:t>Proposal:</w:t>
            </w:r>
          </w:p>
        </w:tc>
        <w:tc>
          <w:tcPr>
            <w:tcW w:w="6014" w:type="dxa"/>
            <w:tcBorders>
              <w:top w:val="nil"/>
              <w:left w:val="nil"/>
              <w:bottom w:val="nil"/>
              <w:right w:val="nil"/>
            </w:tcBorders>
          </w:tcPr>
          <w:p w:rsidR="004D197B" w:rsidRPr="00725C81" w:rsidRDefault="005863F7" w:rsidP="004D197B">
            <w:pPr>
              <w:jc w:val="both"/>
              <w:rPr>
                <w:rFonts w:ascii="Arial" w:hAnsi="Arial" w:cs="Arial"/>
              </w:rPr>
            </w:pPr>
            <w:r w:rsidRPr="00725C81">
              <w:rPr>
                <w:rFonts w:ascii="Arial" w:hAnsi="Arial" w:cs="Arial"/>
              </w:rPr>
              <w:t>Erection of free standing frame and canopy (Retrospective)</w:t>
            </w:r>
            <w:r w:rsidR="004D197B" w:rsidRPr="00725C81">
              <w:rPr>
                <w:rFonts w:ascii="Arial" w:hAnsi="Arial" w:cs="Arial"/>
              </w:rPr>
              <w:t>;</w:t>
            </w:r>
          </w:p>
        </w:tc>
      </w:tr>
      <w:tr w:rsidR="004D197B" w:rsidRPr="00725C81" w:rsidTr="005863F7">
        <w:tc>
          <w:tcPr>
            <w:tcW w:w="2508" w:type="dxa"/>
            <w:tcBorders>
              <w:top w:val="nil"/>
              <w:left w:val="nil"/>
              <w:bottom w:val="nil"/>
              <w:right w:val="nil"/>
            </w:tcBorders>
          </w:tcPr>
          <w:p w:rsidR="004D197B" w:rsidRPr="00725C81" w:rsidRDefault="004D197B" w:rsidP="004D197B">
            <w:pPr>
              <w:rPr>
                <w:rFonts w:ascii="Arial" w:hAnsi="Arial" w:cs="Arial"/>
                <w:b/>
                <w:bCs/>
              </w:rPr>
            </w:pPr>
          </w:p>
        </w:tc>
        <w:tc>
          <w:tcPr>
            <w:tcW w:w="6014" w:type="dxa"/>
            <w:tcBorders>
              <w:top w:val="nil"/>
              <w:left w:val="nil"/>
              <w:bottom w:val="nil"/>
              <w:right w:val="nil"/>
            </w:tcBorders>
          </w:tcPr>
          <w:p w:rsidR="004D197B" w:rsidRPr="00725C81" w:rsidRDefault="004D197B" w:rsidP="004D197B">
            <w:pPr>
              <w:jc w:val="both"/>
              <w:rPr>
                <w:rFonts w:ascii="Arial" w:hAnsi="Arial" w:cs="Arial"/>
              </w:rPr>
            </w:pPr>
          </w:p>
        </w:tc>
      </w:tr>
      <w:tr w:rsidR="004D197B" w:rsidRPr="00725C81" w:rsidTr="005863F7">
        <w:tc>
          <w:tcPr>
            <w:tcW w:w="2508" w:type="dxa"/>
            <w:tcBorders>
              <w:top w:val="nil"/>
              <w:left w:val="nil"/>
              <w:bottom w:val="nil"/>
              <w:right w:val="nil"/>
            </w:tcBorders>
          </w:tcPr>
          <w:p w:rsidR="004D197B" w:rsidRPr="00725C81" w:rsidRDefault="004D197B" w:rsidP="004D197B">
            <w:pPr>
              <w:rPr>
                <w:rFonts w:ascii="Arial" w:hAnsi="Arial" w:cs="Arial"/>
                <w:b/>
                <w:bCs/>
              </w:rPr>
            </w:pPr>
            <w:r w:rsidRPr="00725C81">
              <w:rPr>
                <w:rFonts w:ascii="Arial" w:hAnsi="Arial" w:cs="Arial"/>
                <w:b/>
                <w:bCs/>
              </w:rPr>
              <w:t>Site Address:</w:t>
            </w:r>
          </w:p>
        </w:tc>
        <w:tc>
          <w:tcPr>
            <w:tcW w:w="6014" w:type="dxa"/>
            <w:tcBorders>
              <w:top w:val="nil"/>
              <w:left w:val="nil"/>
              <w:bottom w:val="nil"/>
              <w:right w:val="nil"/>
            </w:tcBorders>
          </w:tcPr>
          <w:p w:rsidR="004D197B" w:rsidRPr="00725C81" w:rsidRDefault="005863F7" w:rsidP="005863F7">
            <w:pPr>
              <w:jc w:val="both"/>
              <w:rPr>
                <w:rFonts w:ascii="Arial" w:hAnsi="Arial" w:cs="Arial"/>
              </w:rPr>
            </w:pPr>
            <w:r w:rsidRPr="00725C81">
              <w:rPr>
                <w:rFonts w:ascii="Arial" w:hAnsi="Arial" w:cs="Arial"/>
              </w:rPr>
              <w:t>Old Parsonage Hotel, Banbury Road, Oxford, OX2 6NN</w:t>
            </w:r>
            <w:r w:rsidR="004D197B" w:rsidRPr="00725C81">
              <w:rPr>
                <w:rFonts w:ascii="Arial" w:hAnsi="Arial" w:cs="Arial"/>
              </w:rPr>
              <w:t>;</w:t>
            </w:r>
          </w:p>
        </w:tc>
      </w:tr>
      <w:tr w:rsidR="004D197B" w:rsidRPr="00725C81" w:rsidTr="005863F7">
        <w:tc>
          <w:tcPr>
            <w:tcW w:w="2508" w:type="dxa"/>
            <w:tcBorders>
              <w:top w:val="nil"/>
              <w:left w:val="nil"/>
              <w:bottom w:val="nil"/>
              <w:right w:val="nil"/>
            </w:tcBorders>
          </w:tcPr>
          <w:p w:rsidR="004D197B" w:rsidRPr="00725C81" w:rsidRDefault="004D197B" w:rsidP="004D197B">
            <w:pPr>
              <w:rPr>
                <w:rFonts w:ascii="Arial" w:hAnsi="Arial" w:cs="Arial"/>
              </w:rPr>
            </w:pPr>
          </w:p>
        </w:tc>
        <w:tc>
          <w:tcPr>
            <w:tcW w:w="6014" w:type="dxa"/>
            <w:tcBorders>
              <w:top w:val="nil"/>
              <w:left w:val="nil"/>
              <w:bottom w:val="nil"/>
              <w:right w:val="nil"/>
            </w:tcBorders>
          </w:tcPr>
          <w:p w:rsidR="004D197B" w:rsidRPr="00725C81" w:rsidRDefault="004D197B" w:rsidP="004D197B">
            <w:pPr>
              <w:rPr>
                <w:rFonts w:ascii="Arial" w:hAnsi="Arial" w:cs="Arial"/>
              </w:rPr>
            </w:pPr>
          </w:p>
        </w:tc>
      </w:tr>
      <w:tr w:rsidR="004D197B" w:rsidRPr="00725C81" w:rsidTr="005863F7">
        <w:tc>
          <w:tcPr>
            <w:tcW w:w="2508" w:type="dxa"/>
            <w:tcBorders>
              <w:top w:val="nil"/>
              <w:left w:val="nil"/>
              <w:bottom w:val="nil"/>
              <w:right w:val="nil"/>
            </w:tcBorders>
          </w:tcPr>
          <w:p w:rsidR="004D197B" w:rsidRPr="00725C81" w:rsidRDefault="004D197B" w:rsidP="004D197B">
            <w:pPr>
              <w:rPr>
                <w:rFonts w:ascii="Arial" w:hAnsi="Arial" w:cs="Arial"/>
                <w:b/>
                <w:bCs/>
              </w:rPr>
            </w:pPr>
            <w:r w:rsidRPr="00725C81">
              <w:rPr>
                <w:rFonts w:ascii="Arial" w:hAnsi="Arial" w:cs="Arial"/>
                <w:b/>
                <w:bCs/>
              </w:rPr>
              <w:t>Ward:</w:t>
            </w:r>
          </w:p>
        </w:tc>
        <w:tc>
          <w:tcPr>
            <w:tcW w:w="6014" w:type="dxa"/>
            <w:tcBorders>
              <w:top w:val="nil"/>
              <w:left w:val="nil"/>
              <w:bottom w:val="nil"/>
              <w:right w:val="nil"/>
            </w:tcBorders>
          </w:tcPr>
          <w:p w:rsidR="004D197B" w:rsidRPr="00725C81" w:rsidRDefault="005863F7" w:rsidP="004D197B">
            <w:pPr>
              <w:rPr>
                <w:rFonts w:ascii="Arial" w:hAnsi="Arial" w:cs="Arial"/>
              </w:rPr>
            </w:pPr>
            <w:r w:rsidRPr="00725C81">
              <w:rPr>
                <w:rFonts w:ascii="Arial" w:hAnsi="Arial" w:cs="Arial"/>
              </w:rPr>
              <w:t>North Ward</w:t>
            </w:r>
            <w:r w:rsidR="004D197B" w:rsidRPr="00725C81">
              <w:rPr>
                <w:rFonts w:ascii="Arial" w:hAnsi="Arial" w:cs="Arial"/>
              </w:rPr>
              <w:t>;</w:t>
            </w:r>
          </w:p>
        </w:tc>
      </w:tr>
    </w:tbl>
    <w:p w:rsidR="004D197B" w:rsidRPr="00725C81" w:rsidRDefault="004D197B" w:rsidP="004D197B">
      <w:pPr>
        <w:rPr>
          <w:rFonts w:ascii="Arial" w:hAnsi="Arial" w:cs="Arial"/>
        </w:rPr>
      </w:pPr>
    </w:p>
    <w:tbl>
      <w:tblPr>
        <w:tblW w:w="9288" w:type="dxa"/>
        <w:tblLayout w:type="fixed"/>
        <w:tblLook w:val="0000" w:firstRow="0" w:lastRow="0" w:firstColumn="0" w:lastColumn="0" w:noHBand="0" w:noVBand="0"/>
      </w:tblPr>
      <w:tblGrid>
        <w:gridCol w:w="1101"/>
        <w:gridCol w:w="3543"/>
        <w:gridCol w:w="1418"/>
        <w:gridCol w:w="3226"/>
      </w:tblGrid>
      <w:tr w:rsidR="004D197B" w:rsidRPr="00725C81" w:rsidTr="004D197B">
        <w:trPr>
          <w:trHeight w:val="80"/>
        </w:trPr>
        <w:tc>
          <w:tcPr>
            <w:tcW w:w="1101" w:type="dxa"/>
            <w:tcBorders>
              <w:top w:val="nil"/>
              <w:left w:val="nil"/>
              <w:bottom w:val="nil"/>
              <w:right w:val="nil"/>
            </w:tcBorders>
          </w:tcPr>
          <w:p w:rsidR="004D197B" w:rsidRPr="00725C81" w:rsidRDefault="004D197B" w:rsidP="004D197B">
            <w:pPr>
              <w:rPr>
                <w:rFonts w:ascii="Arial" w:hAnsi="Arial" w:cs="Arial"/>
              </w:rPr>
            </w:pPr>
            <w:r w:rsidRPr="00725C81">
              <w:rPr>
                <w:rFonts w:ascii="Arial" w:hAnsi="Arial" w:cs="Arial"/>
                <w:b/>
                <w:bCs/>
              </w:rPr>
              <w:t>Agent:</w:t>
            </w:r>
            <w:r w:rsidRPr="00725C81">
              <w:rPr>
                <w:rFonts w:ascii="Arial" w:hAnsi="Arial" w:cs="Arial"/>
              </w:rPr>
              <w:t xml:space="preserve"> </w:t>
            </w:r>
          </w:p>
        </w:tc>
        <w:tc>
          <w:tcPr>
            <w:tcW w:w="3543" w:type="dxa"/>
            <w:tcBorders>
              <w:top w:val="nil"/>
              <w:left w:val="nil"/>
              <w:bottom w:val="nil"/>
              <w:right w:val="nil"/>
            </w:tcBorders>
          </w:tcPr>
          <w:p w:rsidR="004D197B" w:rsidRPr="00725C81" w:rsidRDefault="005863F7" w:rsidP="005863F7">
            <w:pPr>
              <w:rPr>
                <w:rFonts w:ascii="Arial" w:hAnsi="Arial" w:cs="Arial"/>
              </w:rPr>
            </w:pPr>
            <w:r w:rsidRPr="00725C81">
              <w:rPr>
                <w:rFonts w:ascii="Arial" w:hAnsi="Arial" w:cs="Arial"/>
              </w:rPr>
              <w:t xml:space="preserve">Mr. N. </w:t>
            </w:r>
            <w:proofErr w:type="spellStart"/>
            <w:r w:rsidRPr="00725C81">
              <w:rPr>
                <w:rFonts w:ascii="Arial" w:hAnsi="Arial" w:cs="Arial"/>
              </w:rPr>
              <w:t>Lyzba</w:t>
            </w:r>
            <w:proofErr w:type="spellEnd"/>
            <w:r w:rsidR="004D197B" w:rsidRPr="00725C81">
              <w:rPr>
                <w:rFonts w:ascii="Arial" w:hAnsi="Arial" w:cs="Arial"/>
              </w:rPr>
              <w:t xml:space="preserve"> (</w:t>
            </w:r>
            <w:r w:rsidRPr="00725C81">
              <w:rPr>
                <w:rFonts w:ascii="Arial" w:hAnsi="Arial" w:cs="Arial"/>
              </w:rPr>
              <w:t>JPPC</w:t>
            </w:r>
            <w:r w:rsidR="004D197B" w:rsidRPr="00725C81">
              <w:rPr>
                <w:rFonts w:ascii="Arial" w:hAnsi="Arial" w:cs="Arial"/>
              </w:rPr>
              <w:t>)</w:t>
            </w:r>
          </w:p>
        </w:tc>
        <w:tc>
          <w:tcPr>
            <w:tcW w:w="1418" w:type="dxa"/>
            <w:tcBorders>
              <w:top w:val="nil"/>
              <w:left w:val="nil"/>
              <w:bottom w:val="nil"/>
              <w:right w:val="nil"/>
            </w:tcBorders>
          </w:tcPr>
          <w:p w:rsidR="004D197B" w:rsidRPr="00725C81" w:rsidRDefault="004D197B" w:rsidP="004D197B">
            <w:pPr>
              <w:rPr>
                <w:rFonts w:ascii="Arial" w:hAnsi="Arial" w:cs="Arial"/>
              </w:rPr>
            </w:pPr>
            <w:r w:rsidRPr="00725C81">
              <w:rPr>
                <w:rFonts w:ascii="Arial" w:hAnsi="Arial" w:cs="Arial"/>
                <w:b/>
                <w:bCs/>
              </w:rPr>
              <w:t>Applicant:</w:t>
            </w:r>
            <w:r w:rsidRPr="00725C81">
              <w:rPr>
                <w:rFonts w:ascii="Arial" w:hAnsi="Arial" w:cs="Arial"/>
              </w:rPr>
              <w:t xml:space="preserve"> </w:t>
            </w:r>
          </w:p>
        </w:tc>
        <w:tc>
          <w:tcPr>
            <w:tcW w:w="3226" w:type="dxa"/>
            <w:tcBorders>
              <w:top w:val="nil"/>
              <w:left w:val="nil"/>
              <w:bottom w:val="nil"/>
              <w:right w:val="nil"/>
            </w:tcBorders>
          </w:tcPr>
          <w:p w:rsidR="004D197B" w:rsidRPr="00725C81" w:rsidRDefault="005863F7" w:rsidP="005863F7">
            <w:pPr>
              <w:rPr>
                <w:rFonts w:ascii="Arial" w:hAnsi="Arial" w:cs="Arial"/>
              </w:rPr>
            </w:pPr>
            <w:r w:rsidRPr="00725C81">
              <w:rPr>
                <w:rFonts w:ascii="Arial" w:hAnsi="Arial" w:cs="Arial"/>
              </w:rPr>
              <w:t xml:space="preserve">Mr. J. </w:t>
            </w:r>
            <w:proofErr w:type="spellStart"/>
            <w:r w:rsidRPr="00725C81">
              <w:rPr>
                <w:rFonts w:ascii="Arial" w:hAnsi="Arial" w:cs="Arial"/>
              </w:rPr>
              <w:t>Mogford</w:t>
            </w:r>
            <w:proofErr w:type="spellEnd"/>
          </w:p>
        </w:tc>
      </w:tr>
    </w:tbl>
    <w:p w:rsidR="005863F7" w:rsidRPr="00725C81" w:rsidRDefault="005863F7" w:rsidP="004D197B">
      <w:pPr>
        <w:pBdr>
          <w:bottom w:val="single" w:sz="4" w:space="1" w:color="auto"/>
        </w:pBdr>
        <w:rPr>
          <w:rFonts w:ascii="Arial" w:hAnsi="Arial" w:cs="Arial"/>
        </w:rPr>
      </w:pPr>
    </w:p>
    <w:p w:rsidR="005863F7" w:rsidRPr="00725C81" w:rsidRDefault="005863F7" w:rsidP="004D197B">
      <w:pPr>
        <w:pStyle w:val="Header"/>
        <w:widowControl w:val="0"/>
        <w:rPr>
          <w:rFonts w:ascii="Arial" w:hAnsi="Arial" w:cs="Arial"/>
        </w:rPr>
      </w:pPr>
    </w:p>
    <w:p w:rsidR="005863F7" w:rsidRDefault="005863F7" w:rsidP="005863F7">
      <w:pPr>
        <w:jc w:val="both"/>
        <w:rPr>
          <w:rFonts w:ascii="Arial" w:hAnsi="Arial" w:cs="Arial"/>
          <w:b/>
        </w:rPr>
      </w:pPr>
      <w:r w:rsidRPr="00725C81">
        <w:rPr>
          <w:rFonts w:ascii="Arial" w:hAnsi="Arial" w:cs="Arial"/>
          <w:b/>
        </w:rPr>
        <w:t>Recommendation:</w:t>
      </w:r>
    </w:p>
    <w:p w:rsidR="00AE0DDB" w:rsidRPr="00725C81" w:rsidRDefault="00AE0DDB" w:rsidP="005863F7">
      <w:pPr>
        <w:jc w:val="both"/>
        <w:rPr>
          <w:rFonts w:ascii="Arial" w:hAnsi="Arial" w:cs="Arial"/>
          <w:b/>
        </w:rPr>
      </w:pPr>
    </w:p>
    <w:p w:rsidR="004D197B" w:rsidRPr="00725C81" w:rsidRDefault="005863F7" w:rsidP="005863F7">
      <w:pPr>
        <w:jc w:val="both"/>
        <w:rPr>
          <w:rFonts w:ascii="Arial" w:hAnsi="Arial" w:cs="Arial"/>
        </w:rPr>
      </w:pPr>
      <w:r w:rsidRPr="00725C81">
        <w:rPr>
          <w:rFonts w:ascii="Arial" w:hAnsi="Arial" w:cs="Arial"/>
        </w:rPr>
        <w:t xml:space="preserve">The West Area Planning Committee is recommended to </w:t>
      </w:r>
      <w:r w:rsidR="00740E19" w:rsidRPr="00725C81">
        <w:rPr>
          <w:rFonts w:ascii="Arial" w:hAnsi="Arial" w:cs="Arial"/>
        </w:rPr>
        <w:t>refuse</w:t>
      </w:r>
      <w:r w:rsidRPr="00725C81">
        <w:rPr>
          <w:rFonts w:ascii="Arial" w:hAnsi="Arial" w:cs="Arial"/>
        </w:rPr>
        <w:t xml:space="preserve"> planning permission for the following reasons:</w:t>
      </w:r>
    </w:p>
    <w:p w:rsidR="005863F7" w:rsidRPr="00725C81" w:rsidRDefault="005863F7" w:rsidP="005863F7">
      <w:pPr>
        <w:widowControl w:val="0"/>
        <w:ind w:left="720" w:hanging="720"/>
        <w:rPr>
          <w:rFonts w:ascii="Arial" w:hAnsi="Arial" w:cs="Arial"/>
        </w:rPr>
      </w:pPr>
    </w:p>
    <w:p w:rsidR="00A62A30" w:rsidRPr="00725C81" w:rsidRDefault="00452941" w:rsidP="00740E19">
      <w:pPr>
        <w:pStyle w:val="ListParagraph"/>
        <w:numPr>
          <w:ilvl w:val="0"/>
          <w:numId w:val="17"/>
        </w:numPr>
        <w:ind w:left="0" w:hanging="284"/>
        <w:jc w:val="both"/>
        <w:rPr>
          <w:rFonts w:ascii="Arial" w:hAnsi="Arial" w:cs="Arial"/>
          <w:lang w:eastAsia="en-GB"/>
        </w:rPr>
      </w:pPr>
      <w:r w:rsidRPr="00725C81">
        <w:rPr>
          <w:rFonts w:ascii="Arial" w:hAnsi="Arial" w:cs="Arial"/>
        </w:rPr>
        <w:t xml:space="preserve">The proposal, </w:t>
      </w:r>
      <w:r w:rsidR="00CC487F" w:rsidRPr="00725C81">
        <w:rPr>
          <w:rFonts w:ascii="Arial" w:hAnsi="Arial" w:cs="Arial"/>
        </w:rPr>
        <w:t>by virtue of its</w:t>
      </w:r>
      <w:r w:rsidR="00740E19" w:rsidRPr="00725C81">
        <w:rPr>
          <w:rFonts w:ascii="Arial" w:hAnsi="Arial" w:cs="Arial"/>
        </w:rPr>
        <w:t xml:space="preserve"> prominent location, </w:t>
      </w:r>
      <w:r w:rsidR="00FB4CFB" w:rsidRPr="00725C81">
        <w:rPr>
          <w:rFonts w:ascii="Arial" w:hAnsi="Arial" w:cs="Arial"/>
        </w:rPr>
        <w:t xml:space="preserve">siting, </w:t>
      </w:r>
      <w:r w:rsidR="00740E19" w:rsidRPr="00725C81">
        <w:rPr>
          <w:rFonts w:ascii="Arial" w:hAnsi="Arial" w:cs="Arial"/>
        </w:rPr>
        <w:t xml:space="preserve">design, scale, mass and use of materials is unacceptable forming an unsympathetic visual relationship to its host building which is harmful to and </w:t>
      </w:r>
      <w:r w:rsidR="00CC487F" w:rsidRPr="00725C81">
        <w:rPr>
          <w:rFonts w:ascii="Arial" w:hAnsi="Arial" w:cs="Arial"/>
        </w:rPr>
        <w:t>fail</w:t>
      </w:r>
      <w:r w:rsidR="00740E19" w:rsidRPr="00725C81">
        <w:rPr>
          <w:rFonts w:ascii="Arial" w:hAnsi="Arial" w:cs="Arial"/>
        </w:rPr>
        <w:t>s</w:t>
      </w:r>
      <w:r w:rsidR="00CC487F" w:rsidRPr="00725C81">
        <w:rPr>
          <w:rFonts w:ascii="Arial" w:hAnsi="Arial" w:cs="Arial"/>
        </w:rPr>
        <w:t xml:space="preserve"> to safeguard the spe</w:t>
      </w:r>
      <w:r w:rsidR="00740E19" w:rsidRPr="00725C81">
        <w:rPr>
          <w:rFonts w:ascii="Arial" w:hAnsi="Arial" w:cs="Arial"/>
        </w:rPr>
        <w:t>cial architectural and historic</w:t>
      </w:r>
      <w:r w:rsidR="00CC487F" w:rsidRPr="00725C81">
        <w:rPr>
          <w:rFonts w:ascii="Arial" w:hAnsi="Arial" w:cs="Arial"/>
        </w:rPr>
        <w:t xml:space="preserve"> interest of this Grade II Listed Building</w:t>
      </w:r>
      <w:r w:rsidR="00740E19" w:rsidRPr="00725C81">
        <w:rPr>
          <w:rFonts w:ascii="Arial" w:hAnsi="Arial" w:cs="Arial"/>
        </w:rPr>
        <w:t>,</w:t>
      </w:r>
      <w:r w:rsidR="00CC487F" w:rsidRPr="00725C81">
        <w:rPr>
          <w:rFonts w:ascii="Arial" w:hAnsi="Arial" w:cs="Arial"/>
        </w:rPr>
        <w:t xml:space="preserve"> the </w:t>
      </w:r>
      <w:r w:rsidR="00A62A30" w:rsidRPr="00725C81">
        <w:rPr>
          <w:rFonts w:ascii="Arial" w:hAnsi="Arial" w:cs="Arial"/>
        </w:rPr>
        <w:t>s</w:t>
      </w:r>
      <w:r w:rsidR="00CC487F" w:rsidRPr="00725C81">
        <w:rPr>
          <w:rFonts w:ascii="Arial" w:hAnsi="Arial" w:cs="Arial"/>
        </w:rPr>
        <w:t>etting of a</w:t>
      </w:r>
      <w:r w:rsidR="00740E19" w:rsidRPr="00725C81">
        <w:rPr>
          <w:rFonts w:ascii="Arial" w:hAnsi="Arial" w:cs="Arial"/>
        </w:rPr>
        <w:t xml:space="preserve"> nearby Grade I Listed Building.  The proposal also </w:t>
      </w:r>
      <w:r w:rsidR="00740E19" w:rsidRPr="00725C81">
        <w:rPr>
          <w:rFonts w:ascii="Arial" w:hAnsi="Arial" w:cs="Arial"/>
          <w:lang w:eastAsia="en-GB"/>
        </w:rPr>
        <w:t>f</w:t>
      </w:r>
      <w:r w:rsidR="00740E19" w:rsidRPr="00725C81">
        <w:rPr>
          <w:rFonts w:ascii="Arial" w:hAnsi="Arial" w:cs="Arial"/>
        </w:rPr>
        <w:t xml:space="preserve">ails to preserve or enhance the character and visual quality of the street scene and </w:t>
      </w:r>
      <w:r w:rsidR="00740E19" w:rsidRPr="00725C81">
        <w:rPr>
          <w:rFonts w:ascii="Arial" w:hAnsi="Arial" w:cs="Arial"/>
          <w:lang w:eastAsia="en-GB"/>
        </w:rPr>
        <w:t>this</w:t>
      </w:r>
      <w:r w:rsidR="00740E19" w:rsidRPr="00725C81">
        <w:rPr>
          <w:rFonts w:ascii="Arial" w:hAnsi="Arial" w:cs="Arial"/>
        </w:rPr>
        <w:t xml:space="preserve"> part of the Central Conservation Area.  The proposal is contrary to </w:t>
      </w:r>
      <w:r w:rsidR="00A85F49" w:rsidRPr="00725C81">
        <w:rPr>
          <w:rFonts w:ascii="Arial" w:hAnsi="Arial" w:cs="Arial"/>
          <w:lang w:eastAsia="en-GB"/>
        </w:rPr>
        <w:t>policies ‘</w:t>
      </w:r>
      <w:r w:rsidR="00740E19" w:rsidRPr="00725C81">
        <w:rPr>
          <w:rFonts w:ascii="Arial" w:hAnsi="Arial" w:cs="Arial"/>
          <w:lang w:eastAsia="en-GB"/>
        </w:rPr>
        <w:t xml:space="preserve">CP1, </w:t>
      </w:r>
      <w:r w:rsidR="00A85F49" w:rsidRPr="00725C81">
        <w:rPr>
          <w:rFonts w:ascii="Arial" w:hAnsi="Arial" w:cs="Arial"/>
          <w:lang w:eastAsia="en-GB"/>
        </w:rPr>
        <w:t xml:space="preserve">CP8, CP9, CP10, </w:t>
      </w:r>
      <w:r w:rsidR="00740E19" w:rsidRPr="00725C81">
        <w:rPr>
          <w:rFonts w:ascii="Arial" w:hAnsi="Arial" w:cs="Arial"/>
          <w:lang w:eastAsia="en-GB"/>
        </w:rPr>
        <w:t xml:space="preserve">HE3, </w:t>
      </w:r>
      <w:r w:rsidR="00A85F49" w:rsidRPr="00725C81">
        <w:rPr>
          <w:rFonts w:ascii="Arial" w:hAnsi="Arial" w:cs="Arial"/>
          <w:lang w:eastAsia="en-GB"/>
        </w:rPr>
        <w:t xml:space="preserve">HE7’ </w:t>
      </w:r>
      <w:r w:rsidR="00740E19" w:rsidRPr="00725C81">
        <w:rPr>
          <w:rFonts w:ascii="Arial" w:hAnsi="Arial" w:cs="Arial"/>
          <w:lang w:eastAsia="en-GB"/>
        </w:rPr>
        <w:t>of</w:t>
      </w:r>
      <w:r w:rsidR="00A85F49" w:rsidRPr="00725C81">
        <w:rPr>
          <w:rFonts w:ascii="Arial" w:hAnsi="Arial" w:cs="Arial"/>
          <w:lang w:eastAsia="en-GB"/>
        </w:rPr>
        <w:t xml:space="preserve"> the </w:t>
      </w:r>
      <w:r w:rsidR="00A85F49" w:rsidRPr="00725C81">
        <w:rPr>
          <w:rFonts w:ascii="Arial" w:hAnsi="Arial" w:cs="Arial"/>
          <w:i/>
        </w:rPr>
        <w:t>'Oxford City Council Local Plan'</w:t>
      </w:r>
      <w:r w:rsidR="00A85F49" w:rsidRPr="00725C81">
        <w:rPr>
          <w:rFonts w:ascii="Arial" w:hAnsi="Arial" w:cs="Arial"/>
        </w:rPr>
        <w:t xml:space="preserve"> 2005; and ‘Policy CS18’ </w:t>
      </w:r>
      <w:r w:rsidR="00740E19" w:rsidRPr="00725C81">
        <w:rPr>
          <w:rFonts w:ascii="Arial" w:hAnsi="Arial" w:cs="Arial"/>
        </w:rPr>
        <w:t>of</w:t>
      </w:r>
      <w:r w:rsidR="00A85F49" w:rsidRPr="00725C81">
        <w:rPr>
          <w:rFonts w:ascii="Arial" w:hAnsi="Arial" w:cs="Arial"/>
        </w:rPr>
        <w:t xml:space="preserve"> the </w:t>
      </w:r>
      <w:r w:rsidR="00A85F49" w:rsidRPr="00725C81">
        <w:rPr>
          <w:rFonts w:ascii="Arial" w:hAnsi="Arial" w:cs="Arial"/>
          <w:i/>
        </w:rPr>
        <w:t>'Oxford City Council Core Strategy'</w:t>
      </w:r>
      <w:r w:rsidR="00A85F49" w:rsidRPr="00725C81">
        <w:rPr>
          <w:rFonts w:ascii="Arial" w:hAnsi="Arial" w:cs="Arial"/>
        </w:rPr>
        <w:t xml:space="preserve"> 2011;</w:t>
      </w:r>
      <w:r w:rsidR="00A85F49" w:rsidRPr="00725C81">
        <w:rPr>
          <w:rFonts w:ascii="Arial" w:hAnsi="Arial" w:cs="Arial"/>
          <w:lang w:eastAsia="en-GB"/>
        </w:rPr>
        <w:t xml:space="preserve"> </w:t>
      </w:r>
      <w:r w:rsidR="00740E19" w:rsidRPr="00725C81">
        <w:rPr>
          <w:rFonts w:ascii="Arial" w:hAnsi="Arial" w:cs="Arial"/>
        </w:rPr>
        <w:t>and Oxford City Council’s Supplementary Planning Document on ‘</w:t>
      </w:r>
      <w:r w:rsidR="00740E19" w:rsidRPr="00725C81">
        <w:rPr>
          <w:rFonts w:ascii="Arial" w:hAnsi="Arial" w:cs="Arial"/>
          <w:i/>
        </w:rPr>
        <w:t xml:space="preserve">High Quality Design’ </w:t>
      </w:r>
      <w:r w:rsidR="00740E19" w:rsidRPr="00725C81">
        <w:rPr>
          <w:rFonts w:ascii="Arial" w:hAnsi="Arial" w:cs="Arial"/>
        </w:rPr>
        <w:t xml:space="preserve">2015; </w:t>
      </w:r>
      <w:r w:rsidR="00A85F49" w:rsidRPr="00725C81">
        <w:rPr>
          <w:rFonts w:ascii="Arial" w:hAnsi="Arial" w:cs="Arial"/>
          <w:lang w:eastAsia="en-GB"/>
        </w:rPr>
        <w:t>and ‘</w:t>
      </w:r>
      <w:proofErr w:type="spellStart"/>
      <w:r w:rsidR="00A85F49" w:rsidRPr="00725C81">
        <w:rPr>
          <w:rFonts w:ascii="Arial" w:hAnsi="Arial" w:cs="Arial"/>
          <w:lang w:eastAsia="en-GB"/>
        </w:rPr>
        <w:t>Paras</w:t>
      </w:r>
      <w:proofErr w:type="spellEnd"/>
      <w:r w:rsidR="00A85F49" w:rsidRPr="00725C81">
        <w:rPr>
          <w:rFonts w:ascii="Arial" w:hAnsi="Arial" w:cs="Arial"/>
          <w:lang w:eastAsia="en-GB"/>
        </w:rPr>
        <w:t xml:space="preserve"> </w:t>
      </w:r>
      <w:r w:rsidR="00A85F49" w:rsidRPr="00725C81">
        <w:rPr>
          <w:rFonts w:ascii="Arial" w:hAnsi="Arial" w:cs="Arial"/>
        </w:rPr>
        <w:t xml:space="preserve">129, 132 and 134’ </w:t>
      </w:r>
      <w:r w:rsidR="00740E19" w:rsidRPr="00725C81">
        <w:rPr>
          <w:rFonts w:ascii="Arial" w:hAnsi="Arial" w:cs="Arial"/>
        </w:rPr>
        <w:t>of</w:t>
      </w:r>
      <w:r w:rsidR="00A85F49" w:rsidRPr="00725C81">
        <w:rPr>
          <w:rFonts w:ascii="Arial" w:hAnsi="Arial" w:cs="Arial"/>
        </w:rPr>
        <w:t xml:space="preserve"> the </w:t>
      </w:r>
      <w:r w:rsidR="00551A03" w:rsidRPr="00725C81">
        <w:rPr>
          <w:rFonts w:ascii="Arial" w:hAnsi="Arial" w:cs="Arial"/>
        </w:rPr>
        <w:t>‘</w:t>
      </w:r>
      <w:r w:rsidR="00A85F49" w:rsidRPr="00725C81">
        <w:rPr>
          <w:rFonts w:ascii="Arial" w:hAnsi="Arial" w:cs="Arial"/>
          <w:i/>
        </w:rPr>
        <w:t>National Planning Policy framework’</w:t>
      </w:r>
      <w:r w:rsidR="00A85F49" w:rsidRPr="00725C81">
        <w:rPr>
          <w:rFonts w:ascii="Arial" w:hAnsi="Arial" w:cs="Arial"/>
        </w:rPr>
        <w:t xml:space="preserve"> 2012 and ‘</w:t>
      </w:r>
      <w:proofErr w:type="spellStart"/>
      <w:r w:rsidR="00A85F49" w:rsidRPr="00725C81">
        <w:rPr>
          <w:rFonts w:ascii="Arial" w:hAnsi="Arial" w:cs="Arial"/>
        </w:rPr>
        <w:t>Paras</w:t>
      </w:r>
      <w:proofErr w:type="spellEnd"/>
      <w:r w:rsidR="00A85F49" w:rsidRPr="00725C81">
        <w:rPr>
          <w:rFonts w:ascii="Arial" w:hAnsi="Arial" w:cs="Arial"/>
        </w:rPr>
        <w:t xml:space="preserve"> 013, 015, 019 and 020’ </w:t>
      </w:r>
      <w:r w:rsidR="00740E19" w:rsidRPr="00725C81">
        <w:rPr>
          <w:rFonts w:ascii="Arial" w:hAnsi="Arial" w:cs="Arial"/>
        </w:rPr>
        <w:t>of</w:t>
      </w:r>
      <w:r w:rsidR="00A85F49" w:rsidRPr="00725C81">
        <w:rPr>
          <w:rFonts w:ascii="Arial" w:hAnsi="Arial" w:cs="Arial"/>
        </w:rPr>
        <w:t xml:space="preserve"> the </w:t>
      </w:r>
      <w:r w:rsidR="00A85F49" w:rsidRPr="00725C81">
        <w:rPr>
          <w:rFonts w:ascii="Arial" w:hAnsi="Arial" w:cs="Arial"/>
          <w:i/>
        </w:rPr>
        <w:t>‘National Planning Policy Guidance</w:t>
      </w:r>
      <w:r w:rsidR="00A85F49" w:rsidRPr="00725C81">
        <w:rPr>
          <w:rFonts w:ascii="Arial" w:hAnsi="Arial" w:cs="Arial"/>
        </w:rPr>
        <w:t>’.</w:t>
      </w:r>
    </w:p>
    <w:p w:rsidR="00A62A30" w:rsidRPr="00725C81" w:rsidRDefault="00A62A30" w:rsidP="00A62A30">
      <w:pPr>
        <w:pStyle w:val="ListParagraph"/>
        <w:rPr>
          <w:rFonts w:ascii="Arial" w:hAnsi="Arial" w:cs="Arial"/>
          <w:lang w:eastAsia="en-GB"/>
        </w:rPr>
      </w:pPr>
    </w:p>
    <w:p w:rsidR="00FB4CFB" w:rsidRPr="00725C81" w:rsidRDefault="00FB4CFB" w:rsidP="00FB4CFB">
      <w:pPr>
        <w:pStyle w:val="ListParagraph"/>
        <w:ind w:left="0"/>
        <w:jc w:val="both"/>
        <w:rPr>
          <w:rFonts w:ascii="Arial" w:hAnsi="Arial" w:cs="Arial"/>
          <w:lang w:eastAsia="en-GB"/>
        </w:rPr>
      </w:pPr>
    </w:p>
    <w:p w:rsidR="00FB4CFB" w:rsidRPr="00725C81" w:rsidRDefault="00FB4CFB" w:rsidP="00FB4CFB">
      <w:pPr>
        <w:pStyle w:val="Heading1"/>
        <w:numPr>
          <w:ilvl w:val="0"/>
          <w:numId w:val="8"/>
        </w:numPr>
        <w:ind w:left="0" w:hanging="567"/>
        <w:rPr>
          <w:rFonts w:ascii="Arial" w:hAnsi="Arial" w:cs="Arial"/>
          <w:sz w:val="24"/>
        </w:rPr>
      </w:pPr>
      <w:r w:rsidRPr="00725C81">
        <w:rPr>
          <w:rFonts w:ascii="Arial" w:hAnsi="Arial" w:cs="Arial"/>
          <w:sz w:val="24"/>
        </w:rPr>
        <w:t>Principle Policies:</w:t>
      </w:r>
    </w:p>
    <w:p w:rsidR="00FB4CFB" w:rsidRPr="00725C81" w:rsidRDefault="00FB4CFB" w:rsidP="00FB4CFB">
      <w:pPr>
        <w:pStyle w:val="ListParagraph"/>
        <w:numPr>
          <w:ilvl w:val="0"/>
          <w:numId w:val="14"/>
        </w:numPr>
        <w:ind w:left="0" w:hanging="426"/>
        <w:jc w:val="both"/>
        <w:rPr>
          <w:rFonts w:ascii="Arial" w:hAnsi="Arial" w:cs="Arial"/>
          <w:lang w:eastAsia="en-GB"/>
        </w:rPr>
      </w:pPr>
      <w:r w:rsidRPr="00725C81">
        <w:rPr>
          <w:rFonts w:ascii="Arial" w:hAnsi="Arial" w:cs="Arial"/>
        </w:rPr>
        <w:t xml:space="preserve">Section 38(6) of the Planning and Compulsory Purchase Act 2004 requires that proposals be determined in accordance with the development plan and relevant supplementary documents unless material considerations indicate otherwise.  </w:t>
      </w:r>
      <w:r w:rsidRPr="00725C81">
        <w:rPr>
          <w:rFonts w:ascii="Arial" w:hAnsi="Arial" w:cs="Arial"/>
          <w:lang w:eastAsia="en-GB"/>
        </w:rPr>
        <w:t xml:space="preserve">The Development Plan for oxford alongside relevant supplementary documents </w:t>
      </w:r>
      <w:proofErr w:type="gramStart"/>
      <w:r w:rsidRPr="00725C81">
        <w:rPr>
          <w:rFonts w:ascii="Arial" w:hAnsi="Arial" w:cs="Arial"/>
          <w:lang w:eastAsia="en-GB"/>
        </w:rPr>
        <w:t>include</w:t>
      </w:r>
      <w:proofErr w:type="gramEnd"/>
      <w:r w:rsidRPr="00725C81">
        <w:rPr>
          <w:rFonts w:ascii="Arial" w:hAnsi="Arial" w:cs="Arial"/>
          <w:lang w:eastAsia="en-GB"/>
        </w:rPr>
        <w:t xml:space="preserve"> </w:t>
      </w:r>
      <w:r w:rsidRPr="00725C81">
        <w:rPr>
          <w:rFonts w:ascii="Arial" w:hAnsi="Arial" w:cs="Arial"/>
        </w:rPr>
        <w:t xml:space="preserve">the </w:t>
      </w:r>
      <w:r w:rsidRPr="00725C81">
        <w:rPr>
          <w:rFonts w:ascii="Arial" w:hAnsi="Arial" w:cs="Arial"/>
          <w:i/>
        </w:rPr>
        <w:t>'Oxford City Council Local Plan'</w:t>
      </w:r>
      <w:r w:rsidRPr="00725C81">
        <w:rPr>
          <w:rFonts w:ascii="Arial" w:hAnsi="Arial" w:cs="Arial"/>
        </w:rPr>
        <w:t xml:space="preserve"> 2005: the </w:t>
      </w:r>
      <w:r w:rsidRPr="00725C81">
        <w:rPr>
          <w:rFonts w:ascii="Arial" w:hAnsi="Arial" w:cs="Arial"/>
          <w:i/>
        </w:rPr>
        <w:t>'Oxford City Council Core Strategy'</w:t>
      </w:r>
      <w:r w:rsidRPr="00725C81">
        <w:rPr>
          <w:rFonts w:ascii="Arial" w:hAnsi="Arial" w:cs="Arial"/>
        </w:rPr>
        <w:t xml:space="preserve"> 2011: and Oxford City Councils Supplementary Planning Document on ‘</w:t>
      </w:r>
      <w:r w:rsidRPr="00725C81">
        <w:rPr>
          <w:rFonts w:ascii="Arial" w:hAnsi="Arial" w:cs="Arial"/>
          <w:i/>
        </w:rPr>
        <w:t xml:space="preserve">High Quality Design’ </w:t>
      </w:r>
      <w:r w:rsidRPr="00725C81">
        <w:rPr>
          <w:rFonts w:ascii="Arial" w:hAnsi="Arial" w:cs="Arial"/>
        </w:rPr>
        <w:t>2015</w:t>
      </w:r>
      <w:r w:rsidRPr="00725C81">
        <w:rPr>
          <w:rFonts w:ascii="Arial" w:hAnsi="Arial" w:cs="Arial"/>
          <w:lang w:eastAsia="en-GB"/>
        </w:rPr>
        <w:t xml:space="preserve">.  </w:t>
      </w:r>
    </w:p>
    <w:p w:rsidR="00FB4CFB" w:rsidRPr="00725C81" w:rsidRDefault="00FB4CFB" w:rsidP="00FB4CFB">
      <w:pPr>
        <w:pStyle w:val="ListParagraph"/>
        <w:ind w:left="0"/>
        <w:jc w:val="both"/>
        <w:rPr>
          <w:rFonts w:ascii="Arial" w:hAnsi="Arial" w:cs="Arial"/>
          <w:lang w:eastAsia="en-GB"/>
        </w:rPr>
      </w:pPr>
    </w:p>
    <w:p w:rsidR="00FB4CFB" w:rsidRDefault="00FB4CFB" w:rsidP="00FB4CFB">
      <w:pPr>
        <w:pStyle w:val="ListParagraph"/>
        <w:numPr>
          <w:ilvl w:val="0"/>
          <w:numId w:val="14"/>
        </w:numPr>
        <w:ind w:left="0" w:hanging="426"/>
        <w:jc w:val="both"/>
        <w:rPr>
          <w:rFonts w:ascii="Arial" w:hAnsi="Arial" w:cs="Arial"/>
          <w:lang w:eastAsia="en-GB"/>
        </w:rPr>
      </w:pPr>
      <w:r w:rsidRPr="00725C81">
        <w:rPr>
          <w:rFonts w:ascii="Arial" w:hAnsi="Arial" w:cs="Arial"/>
          <w:lang w:eastAsia="en-GB"/>
        </w:rPr>
        <w:lastRenderedPageBreak/>
        <w:t xml:space="preserve">The </w:t>
      </w:r>
      <w:r w:rsidRPr="00725C81">
        <w:rPr>
          <w:rFonts w:ascii="Arial" w:hAnsi="Arial" w:cs="Arial"/>
        </w:rPr>
        <w:t>‘</w:t>
      </w:r>
      <w:r w:rsidRPr="00725C81">
        <w:rPr>
          <w:rFonts w:ascii="Arial" w:hAnsi="Arial" w:cs="Arial"/>
          <w:i/>
        </w:rPr>
        <w:t>National Planning Policy framework’</w:t>
      </w:r>
      <w:r w:rsidRPr="00725C81">
        <w:rPr>
          <w:rFonts w:ascii="Arial" w:hAnsi="Arial" w:cs="Arial"/>
        </w:rPr>
        <w:t xml:space="preserve"> </w:t>
      </w:r>
      <w:r w:rsidRPr="00725C81">
        <w:rPr>
          <w:rFonts w:ascii="Arial" w:hAnsi="Arial" w:cs="Arial"/>
          <w:lang w:eastAsia="en-GB"/>
        </w:rPr>
        <w:t>(‘’NPPF’’) 2012 states clearly that its content is to be a material consideration in the determination of applications.  T</w:t>
      </w:r>
      <w:r w:rsidRPr="00725C81">
        <w:rPr>
          <w:rFonts w:ascii="Arial" w:hAnsi="Arial" w:cs="Arial"/>
        </w:rPr>
        <w:t xml:space="preserve">he </w:t>
      </w:r>
      <w:r w:rsidRPr="00725C81">
        <w:rPr>
          <w:rFonts w:ascii="Arial" w:hAnsi="Arial" w:cs="Arial"/>
          <w:i/>
        </w:rPr>
        <w:t>‘</w:t>
      </w:r>
      <w:r w:rsidRPr="00725C81">
        <w:rPr>
          <w:rFonts w:ascii="Arial" w:hAnsi="Arial" w:cs="Arial"/>
        </w:rPr>
        <w:t xml:space="preserve">NPPF’ states that due weight should be given to the adopted policies of the Local Development Framework (LDF) (Core Strategy and Sites and Detailed Policies Document) according to their degree of consistency with the </w:t>
      </w:r>
      <w:r w:rsidRPr="00725C81">
        <w:rPr>
          <w:rFonts w:ascii="Arial" w:hAnsi="Arial" w:cs="Arial"/>
          <w:i/>
        </w:rPr>
        <w:t>‘NPPF’</w:t>
      </w:r>
      <w:r w:rsidRPr="00725C81">
        <w:rPr>
          <w:rFonts w:ascii="Arial" w:hAnsi="Arial" w:cs="Arial"/>
        </w:rPr>
        <w:t xml:space="preserve"> (the closer the policies in the plan to the policies in the ‘NPPF’, the greater the weight that may be given). Accordingly, the ‘NPPF’ and the following development plan policies and supplementary planning guidance are relevant:</w:t>
      </w:r>
    </w:p>
    <w:p w:rsidR="00FD17C9" w:rsidRPr="00725C81" w:rsidRDefault="00FD17C9" w:rsidP="00FD17C9">
      <w:pPr>
        <w:pStyle w:val="ListParagraph"/>
        <w:ind w:left="0"/>
        <w:jc w:val="both"/>
        <w:rPr>
          <w:rFonts w:ascii="Arial" w:hAnsi="Arial" w:cs="Arial"/>
          <w:lang w:eastAsia="en-GB"/>
        </w:rPr>
      </w:pPr>
    </w:p>
    <w:p w:rsidR="00FB4CFB" w:rsidRPr="00725C81" w:rsidRDefault="00FB4CFB" w:rsidP="00FB4CFB">
      <w:pPr>
        <w:pStyle w:val="ListParagraph"/>
        <w:numPr>
          <w:ilvl w:val="0"/>
          <w:numId w:val="14"/>
        </w:numPr>
        <w:ind w:left="0" w:hanging="426"/>
        <w:jc w:val="both"/>
        <w:rPr>
          <w:rFonts w:ascii="Arial" w:hAnsi="Arial" w:cs="Arial"/>
          <w:lang w:eastAsia="en-GB"/>
        </w:rPr>
      </w:pPr>
      <w:r w:rsidRPr="00725C81">
        <w:rPr>
          <w:rFonts w:ascii="Arial" w:hAnsi="Arial" w:cs="Arial"/>
          <w:lang w:eastAsia="ar-SA"/>
        </w:rPr>
        <w:t>The application has been assessed against the following policies:</w:t>
      </w:r>
    </w:p>
    <w:p w:rsidR="00FB4CFB" w:rsidRPr="00725C81" w:rsidRDefault="00FB4CFB" w:rsidP="00FB4CFB">
      <w:pPr>
        <w:pStyle w:val="ListParagraph"/>
        <w:ind w:left="0"/>
        <w:jc w:val="both"/>
        <w:rPr>
          <w:rFonts w:ascii="Arial" w:hAnsi="Arial" w:cs="Arial"/>
          <w:lang w:eastAsia="ar-SA"/>
        </w:rPr>
      </w:pPr>
    </w:p>
    <w:p w:rsidR="00FB4CFB" w:rsidRPr="00725C81" w:rsidRDefault="00FB4CFB" w:rsidP="00FB4CFB">
      <w:pPr>
        <w:ind w:left="720" w:hanging="720"/>
        <w:jc w:val="both"/>
        <w:rPr>
          <w:rFonts w:ascii="Arial" w:hAnsi="Arial" w:cs="Arial"/>
          <w:bCs/>
          <w:u w:val="single"/>
        </w:rPr>
      </w:pPr>
      <w:r w:rsidRPr="00725C81">
        <w:rPr>
          <w:rFonts w:ascii="Arial" w:hAnsi="Arial" w:cs="Arial"/>
          <w:bCs/>
          <w:u w:val="single"/>
        </w:rPr>
        <w:t>National</w:t>
      </w:r>
    </w:p>
    <w:p w:rsidR="00FB4CFB" w:rsidRPr="00725C81" w:rsidRDefault="00FB4CFB" w:rsidP="00FB4CFB">
      <w:pPr>
        <w:widowControl w:val="0"/>
        <w:jc w:val="both"/>
        <w:rPr>
          <w:rFonts w:ascii="Arial" w:hAnsi="Arial" w:cs="Arial"/>
        </w:rPr>
      </w:pPr>
      <w:r w:rsidRPr="00725C81">
        <w:rPr>
          <w:rFonts w:ascii="Arial" w:hAnsi="Arial" w:cs="Arial"/>
        </w:rPr>
        <w:t>National Planning Policy framework 2012 (paragraphs 129, 132 and 134)</w:t>
      </w:r>
      <w:r w:rsidR="00551A03" w:rsidRPr="00725C81">
        <w:rPr>
          <w:rFonts w:ascii="Arial" w:hAnsi="Arial" w:cs="Arial"/>
        </w:rPr>
        <w:t>;</w:t>
      </w:r>
    </w:p>
    <w:p w:rsidR="00FB4CFB" w:rsidRPr="00725C81" w:rsidRDefault="00FB4CFB" w:rsidP="00FB4CFB">
      <w:pPr>
        <w:pStyle w:val="Default"/>
        <w:jc w:val="both"/>
      </w:pPr>
      <w:r w:rsidRPr="00725C81">
        <w:t xml:space="preserve">National Planning Policy Guidance </w:t>
      </w:r>
      <w:r w:rsidR="00551A03" w:rsidRPr="00725C81">
        <w:t>(</w:t>
      </w:r>
      <w:r w:rsidRPr="00725C81">
        <w:t>paragraphs 013, 015, 019 and 020</w:t>
      </w:r>
      <w:r w:rsidR="00551A03" w:rsidRPr="00725C81">
        <w:t>);</w:t>
      </w:r>
    </w:p>
    <w:p w:rsidR="00FB4CFB" w:rsidRPr="00725C81" w:rsidRDefault="00FB4CFB" w:rsidP="00FB4CFB">
      <w:pPr>
        <w:widowControl w:val="0"/>
        <w:rPr>
          <w:rFonts w:ascii="Arial" w:hAnsi="Arial" w:cs="Arial"/>
        </w:rPr>
      </w:pPr>
    </w:p>
    <w:p w:rsidR="00FB4CFB" w:rsidRPr="00725C81" w:rsidRDefault="00FB4CFB" w:rsidP="00FB4CFB">
      <w:pPr>
        <w:widowControl w:val="0"/>
        <w:rPr>
          <w:rFonts w:ascii="Arial" w:hAnsi="Arial" w:cs="Arial"/>
          <w:u w:val="single"/>
        </w:rPr>
      </w:pPr>
      <w:r w:rsidRPr="00725C81">
        <w:rPr>
          <w:rFonts w:ascii="Arial" w:hAnsi="Arial" w:cs="Arial"/>
          <w:u w:val="single"/>
        </w:rPr>
        <w:t>Oxford City Council Local Plan 2005 (as amended 2013)</w:t>
      </w:r>
    </w:p>
    <w:p w:rsidR="00FB4CFB" w:rsidRPr="00725C81" w:rsidRDefault="00FB4CFB" w:rsidP="00FB4CFB">
      <w:pPr>
        <w:widowControl w:val="0"/>
        <w:rPr>
          <w:rFonts w:ascii="Arial" w:hAnsi="Arial" w:cs="Arial"/>
        </w:rPr>
      </w:pPr>
      <w:r w:rsidRPr="00725C81">
        <w:rPr>
          <w:rFonts w:ascii="Arial" w:hAnsi="Arial" w:cs="Arial"/>
          <w:bCs/>
        </w:rPr>
        <w:t>CP1</w:t>
      </w:r>
      <w:r w:rsidRPr="00725C81">
        <w:rPr>
          <w:rFonts w:ascii="Arial" w:hAnsi="Arial" w:cs="Arial"/>
        </w:rPr>
        <w:t xml:space="preserve"> - Development Proposals</w:t>
      </w:r>
      <w:r w:rsidR="00551A03" w:rsidRPr="00725C81">
        <w:rPr>
          <w:rFonts w:ascii="Arial" w:hAnsi="Arial" w:cs="Arial"/>
        </w:rPr>
        <w:t>;</w:t>
      </w:r>
    </w:p>
    <w:p w:rsidR="00FB4CFB" w:rsidRPr="00725C81" w:rsidRDefault="00FB4CFB" w:rsidP="00FB4CFB">
      <w:pPr>
        <w:widowControl w:val="0"/>
        <w:rPr>
          <w:rFonts w:ascii="Arial" w:hAnsi="Arial" w:cs="Arial"/>
        </w:rPr>
      </w:pPr>
      <w:r w:rsidRPr="00725C81">
        <w:rPr>
          <w:rFonts w:ascii="Arial" w:hAnsi="Arial" w:cs="Arial"/>
          <w:bCs/>
        </w:rPr>
        <w:t>CP8</w:t>
      </w:r>
      <w:r w:rsidRPr="00725C81">
        <w:rPr>
          <w:rFonts w:ascii="Arial" w:hAnsi="Arial" w:cs="Arial"/>
        </w:rPr>
        <w:t xml:space="preserve"> - Design Development to Relate to its Context</w:t>
      </w:r>
      <w:r w:rsidR="00551A03" w:rsidRPr="00725C81">
        <w:rPr>
          <w:rFonts w:ascii="Arial" w:hAnsi="Arial" w:cs="Arial"/>
        </w:rPr>
        <w:t>;</w:t>
      </w:r>
    </w:p>
    <w:p w:rsidR="00FB4CFB" w:rsidRPr="00725C81" w:rsidRDefault="00FB4CFB" w:rsidP="00FB4CFB">
      <w:pPr>
        <w:widowControl w:val="0"/>
        <w:rPr>
          <w:rFonts w:ascii="Arial" w:hAnsi="Arial" w:cs="Arial"/>
        </w:rPr>
      </w:pPr>
      <w:r w:rsidRPr="00725C81">
        <w:rPr>
          <w:rFonts w:ascii="Arial" w:hAnsi="Arial" w:cs="Arial"/>
          <w:bCs/>
        </w:rPr>
        <w:t>CP9</w:t>
      </w:r>
      <w:r w:rsidRPr="00725C81">
        <w:rPr>
          <w:rFonts w:ascii="Arial" w:hAnsi="Arial" w:cs="Arial"/>
        </w:rPr>
        <w:t xml:space="preserve"> - Creating Successful New Places</w:t>
      </w:r>
      <w:r w:rsidR="00551A03" w:rsidRPr="00725C81">
        <w:rPr>
          <w:rFonts w:ascii="Arial" w:hAnsi="Arial" w:cs="Arial"/>
        </w:rPr>
        <w:t>;</w:t>
      </w:r>
    </w:p>
    <w:p w:rsidR="00FB4CFB" w:rsidRPr="00725C81" w:rsidRDefault="00FB4CFB" w:rsidP="00FB4CFB">
      <w:pPr>
        <w:widowControl w:val="0"/>
        <w:rPr>
          <w:rFonts w:ascii="Arial" w:hAnsi="Arial" w:cs="Arial"/>
        </w:rPr>
      </w:pPr>
      <w:r w:rsidRPr="00725C81">
        <w:rPr>
          <w:rFonts w:ascii="Arial" w:hAnsi="Arial" w:cs="Arial"/>
          <w:bCs/>
        </w:rPr>
        <w:t>CP10</w:t>
      </w:r>
      <w:r w:rsidRPr="00725C81">
        <w:rPr>
          <w:rFonts w:ascii="Arial" w:hAnsi="Arial" w:cs="Arial"/>
        </w:rPr>
        <w:t xml:space="preserve"> - Siting Development to Meet Functional Needs</w:t>
      </w:r>
      <w:r w:rsidR="00551A03" w:rsidRPr="00725C81">
        <w:rPr>
          <w:rFonts w:ascii="Arial" w:hAnsi="Arial" w:cs="Arial"/>
        </w:rPr>
        <w:t>;</w:t>
      </w:r>
    </w:p>
    <w:p w:rsidR="00FB4CFB" w:rsidRPr="00725C81" w:rsidRDefault="00FB4CFB" w:rsidP="00FB4CFB">
      <w:pPr>
        <w:widowControl w:val="0"/>
        <w:rPr>
          <w:rFonts w:ascii="Arial" w:hAnsi="Arial" w:cs="Arial"/>
        </w:rPr>
      </w:pPr>
      <w:r w:rsidRPr="00725C81">
        <w:rPr>
          <w:rFonts w:ascii="Arial" w:hAnsi="Arial" w:cs="Arial"/>
          <w:bCs/>
        </w:rPr>
        <w:t>HE3</w:t>
      </w:r>
      <w:r w:rsidRPr="00725C81">
        <w:rPr>
          <w:rFonts w:ascii="Arial" w:hAnsi="Arial" w:cs="Arial"/>
        </w:rPr>
        <w:t xml:space="preserve"> - Listed Buildings and Their Setting</w:t>
      </w:r>
      <w:r w:rsidR="00551A03" w:rsidRPr="00725C81">
        <w:rPr>
          <w:rFonts w:ascii="Arial" w:hAnsi="Arial" w:cs="Arial"/>
        </w:rPr>
        <w:t>;</w:t>
      </w:r>
    </w:p>
    <w:p w:rsidR="00FB4CFB" w:rsidRPr="00725C81" w:rsidRDefault="00FB4CFB" w:rsidP="00FB4CFB">
      <w:pPr>
        <w:widowControl w:val="0"/>
        <w:rPr>
          <w:rFonts w:ascii="Arial" w:hAnsi="Arial" w:cs="Arial"/>
        </w:rPr>
      </w:pPr>
      <w:r w:rsidRPr="00725C81">
        <w:rPr>
          <w:rFonts w:ascii="Arial" w:hAnsi="Arial" w:cs="Arial"/>
          <w:bCs/>
        </w:rPr>
        <w:t>HE7</w:t>
      </w:r>
      <w:r w:rsidRPr="00725C81">
        <w:rPr>
          <w:rFonts w:ascii="Arial" w:hAnsi="Arial" w:cs="Arial"/>
        </w:rPr>
        <w:t xml:space="preserve"> - Conservation Areas</w:t>
      </w:r>
      <w:r w:rsidR="00551A03" w:rsidRPr="00725C81">
        <w:rPr>
          <w:rFonts w:ascii="Arial" w:hAnsi="Arial" w:cs="Arial"/>
        </w:rPr>
        <w:t>;</w:t>
      </w:r>
    </w:p>
    <w:p w:rsidR="00FB4CFB" w:rsidRPr="00725C81" w:rsidRDefault="00FB4CFB" w:rsidP="00FB4CFB">
      <w:pPr>
        <w:jc w:val="both"/>
        <w:rPr>
          <w:rFonts w:ascii="Arial" w:hAnsi="Arial" w:cs="Arial"/>
          <w:bCs/>
        </w:rPr>
      </w:pPr>
    </w:p>
    <w:p w:rsidR="00FB4CFB" w:rsidRPr="00725C81" w:rsidRDefault="00FB4CFB" w:rsidP="00FB4CFB">
      <w:pPr>
        <w:pStyle w:val="Header"/>
        <w:rPr>
          <w:rFonts w:ascii="Arial" w:hAnsi="Arial" w:cs="Arial"/>
          <w:bCs/>
          <w:u w:val="single"/>
        </w:rPr>
      </w:pPr>
      <w:r w:rsidRPr="00725C81">
        <w:rPr>
          <w:rFonts w:ascii="Arial" w:hAnsi="Arial" w:cs="Arial"/>
          <w:bCs/>
          <w:u w:val="single"/>
        </w:rPr>
        <w:t>Oxford City Council’s ‘</w:t>
      </w:r>
      <w:r w:rsidRPr="00725C81">
        <w:rPr>
          <w:rFonts w:ascii="Arial" w:hAnsi="Arial" w:cs="Arial"/>
          <w:bCs/>
          <w:i/>
          <w:u w:val="single"/>
        </w:rPr>
        <w:t>Core Strategy’</w:t>
      </w:r>
      <w:r w:rsidRPr="00725C81">
        <w:rPr>
          <w:rFonts w:ascii="Arial" w:hAnsi="Arial" w:cs="Arial"/>
          <w:bCs/>
          <w:u w:val="single"/>
        </w:rPr>
        <w:t xml:space="preserve"> 2011</w:t>
      </w:r>
    </w:p>
    <w:p w:rsidR="00FB4CFB" w:rsidRPr="00725C81" w:rsidRDefault="00FB4CFB" w:rsidP="00FB4CFB">
      <w:pPr>
        <w:widowControl w:val="0"/>
        <w:ind w:right="-1"/>
        <w:rPr>
          <w:rFonts w:ascii="Arial" w:hAnsi="Arial" w:cs="Arial"/>
          <w:bCs/>
        </w:rPr>
      </w:pPr>
      <w:r w:rsidRPr="00725C81">
        <w:rPr>
          <w:rFonts w:ascii="Arial" w:hAnsi="Arial" w:cs="Arial"/>
          <w:bCs/>
        </w:rPr>
        <w:t xml:space="preserve">CS18 </w:t>
      </w:r>
      <w:r w:rsidRPr="00725C81">
        <w:rPr>
          <w:rFonts w:ascii="Arial" w:hAnsi="Arial" w:cs="Arial"/>
        </w:rPr>
        <w:t xml:space="preserve">- </w:t>
      </w:r>
      <w:r w:rsidRPr="00725C81">
        <w:rPr>
          <w:rFonts w:ascii="Arial" w:hAnsi="Arial" w:cs="Arial"/>
          <w:bCs/>
        </w:rPr>
        <w:t>Urban Design, Townscape Character and the Historic Environment;</w:t>
      </w:r>
    </w:p>
    <w:p w:rsidR="00FB4CFB" w:rsidRPr="00725C81" w:rsidRDefault="00FB4CFB" w:rsidP="00FB4CFB">
      <w:pPr>
        <w:ind w:left="720" w:hanging="720"/>
        <w:jc w:val="both"/>
        <w:rPr>
          <w:rFonts w:ascii="Arial" w:hAnsi="Arial" w:cs="Arial"/>
          <w:bCs/>
        </w:rPr>
      </w:pPr>
    </w:p>
    <w:p w:rsidR="00FB4CFB" w:rsidRPr="00725C81" w:rsidRDefault="00FB4CFB" w:rsidP="00FB4CFB">
      <w:pPr>
        <w:ind w:left="720" w:hanging="720"/>
        <w:jc w:val="both"/>
        <w:rPr>
          <w:rFonts w:ascii="Arial" w:hAnsi="Arial" w:cs="Arial"/>
          <w:u w:val="single"/>
        </w:rPr>
      </w:pPr>
      <w:r w:rsidRPr="00725C81">
        <w:rPr>
          <w:rFonts w:ascii="Arial" w:hAnsi="Arial" w:cs="Arial"/>
          <w:bCs/>
          <w:u w:val="single"/>
        </w:rPr>
        <w:t>Oxford City Council’s</w:t>
      </w:r>
      <w:r w:rsidRPr="00725C81">
        <w:rPr>
          <w:rFonts w:ascii="Arial" w:hAnsi="Arial" w:cs="Arial"/>
          <w:u w:val="single"/>
        </w:rPr>
        <w:t xml:space="preserve"> Supplementary Planning Documents</w:t>
      </w:r>
    </w:p>
    <w:p w:rsidR="00FB4CFB" w:rsidRPr="00725C81" w:rsidRDefault="00FB4CFB" w:rsidP="00FB4CFB">
      <w:pPr>
        <w:widowControl w:val="0"/>
        <w:ind w:right="397"/>
        <w:jc w:val="both"/>
        <w:rPr>
          <w:rFonts w:ascii="Arial" w:hAnsi="Arial" w:cs="Arial"/>
        </w:rPr>
      </w:pPr>
      <w:r w:rsidRPr="00725C81">
        <w:rPr>
          <w:rFonts w:ascii="Arial" w:hAnsi="Arial" w:cs="Arial"/>
          <w:iCs/>
        </w:rPr>
        <w:t xml:space="preserve">High Quality Design </w:t>
      </w:r>
      <w:r w:rsidRPr="00725C81">
        <w:rPr>
          <w:rFonts w:ascii="Arial" w:hAnsi="Arial" w:cs="Arial"/>
        </w:rPr>
        <w:t>2015;</w:t>
      </w:r>
    </w:p>
    <w:p w:rsidR="00FB4CFB" w:rsidRPr="00725C81" w:rsidRDefault="00FB4CFB" w:rsidP="00A62A30">
      <w:pPr>
        <w:pStyle w:val="ListParagraph"/>
        <w:rPr>
          <w:rFonts w:ascii="Arial" w:hAnsi="Arial" w:cs="Arial"/>
          <w:lang w:eastAsia="en-GB"/>
        </w:rPr>
      </w:pPr>
    </w:p>
    <w:p w:rsidR="00FB4CFB" w:rsidRPr="00725C81" w:rsidRDefault="00FB4CFB" w:rsidP="00FB4CFB">
      <w:pPr>
        <w:rPr>
          <w:rFonts w:ascii="Arial" w:hAnsi="Arial" w:cs="Arial"/>
          <w:u w:val="single"/>
          <w:lang w:eastAsia="en-GB"/>
        </w:rPr>
      </w:pPr>
      <w:r w:rsidRPr="00725C81">
        <w:rPr>
          <w:rFonts w:ascii="Arial" w:hAnsi="Arial" w:cs="Arial"/>
          <w:u w:val="single"/>
          <w:lang w:eastAsia="en-GB"/>
        </w:rPr>
        <w:t>Other Planning Documents</w:t>
      </w:r>
    </w:p>
    <w:p w:rsidR="00FB4CFB" w:rsidRPr="00725C81" w:rsidRDefault="00FB4CFB" w:rsidP="00FB4CFB">
      <w:pPr>
        <w:rPr>
          <w:rFonts w:ascii="Arial" w:hAnsi="Arial" w:cs="Arial"/>
          <w:lang w:eastAsia="en-GB"/>
        </w:rPr>
      </w:pPr>
      <w:r w:rsidRPr="00725C81">
        <w:rPr>
          <w:rFonts w:ascii="Arial" w:hAnsi="Arial" w:cs="Arial"/>
        </w:rPr>
        <w:t>Historic Environment Good Practice Advice in Planning: 2;</w:t>
      </w:r>
    </w:p>
    <w:p w:rsidR="00FB4CFB" w:rsidRPr="00725C81" w:rsidRDefault="00FB4CFB" w:rsidP="00A62A30">
      <w:pPr>
        <w:pStyle w:val="ListParagraph"/>
        <w:rPr>
          <w:rFonts w:ascii="Arial" w:hAnsi="Arial" w:cs="Arial"/>
          <w:lang w:eastAsia="en-GB"/>
        </w:rPr>
      </w:pPr>
    </w:p>
    <w:p w:rsidR="00FB4CFB" w:rsidRPr="00725C81" w:rsidRDefault="00FB4CFB" w:rsidP="00FB4CFB">
      <w:pPr>
        <w:widowControl w:val="0"/>
        <w:jc w:val="both"/>
        <w:rPr>
          <w:rFonts w:ascii="Arial" w:hAnsi="Arial" w:cs="Arial"/>
        </w:rPr>
      </w:pPr>
    </w:p>
    <w:p w:rsidR="00FB4CFB" w:rsidRPr="00725C81" w:rsidRDefault="00FB4CFB" w:rsidP="00FB4CFB">
      <w:pPr>
        <w:pStyle w:val="Heading1"/>
        <w:numPr>
          <w:ilvl w:val="0"/>
          <w:numId w:val="8"/>
        </w:numPr>
        <w:ind w:left="0" w:hanging="567"/>
        <w:rPr>
          <w:rFonts w:ascii="Arial" w:hAnsi="Arial" w:cs="Arial"/>
          <w:sz w:val="24"/>
        </w:rPr>
      </w:pPr>
      <w:r w:rsidRPr="00725C81">
        <w:rPr>
          <w:rFonts w:ascii="Arial" w:hAnsi="Arial" w:cs="Arial"/>
          <w:sz w:val="24"/>
        </w:rPr>
        <w:t>Relevant Site History:</w:t>
      </w:r>
    </w:p>
    <w:p w:rsidR="00FB4CFB" w:rsidRPr="00725C81" w:rsidRDefault="00FB4CFB" w:rsidP="00FB4CFB">
      <w:pPr>
        <w:pStyle w:val="ListParagraph"/>
        <w:numPr>
          <w:ilvl w:val="0"/>
          <w:numId w:val="13"/>
        </w:numPr>
        <w:ind w:left="0" w:hanging="426"/>
        <w:jc w:val="both"/>
        <w:rPr>
          <w:rFonts w:ascii="Arial" w:hAnsi="Arial" w:cs="Arial"/>
          <w:lang w:eastAsia="en-GB"/>
        </w:rPr>
      </w:pPr>
      <w:r w:rsidRPr="00725C81">
        <w:rPr>
          <w:rFonts w:ascii="Arial" w:hAnsi="Arial" w:cs="Arial"/>
          <w:lang w:eastAsia="en-GB"/>
        </w:rPr>
        <w:t xml:space="preserve">A planning history search exercise was carried out on </w:t>
      </w:r>
      <w:r w:rsidRPr="00725C81">
        <w:rPr>
          <w:rFonts w:ascii="Arial" w:hAnsi="Arial" w:cs="Arial"/>
          <w:bCs/>
        </w:rPr>
        <w:t xml:space="preserve">17.12.2015 </w:t>
      </w:r>
      <w:r w:rsidRPr="00725C81">
        <w:rPr>
          <w:rFonts w:ascii="Arial" w:hAnsi="Arial" w:cs="Arial"/>
          <w:lang w:eastAsia="en-GB"/>
        </w:rPr>
        <w:t>to reveal the following site history that is considered of material relevance to this submission:</w:t>
      </w:r>
    </w:p>
    <w:p w:rsidR="00FB4CFB" w:rsidRPr="00725C81" w:rsidRDefault="00FB4CFB" w:rsidP="00FB4CFB">
      <w:pPr>
        <w:pStyle w:val="CAPS"/>
        <w:jc w:val="both"/>
        <w:rPr>
          <w:rFonts w:ascii="Arial" w:hAnsi="Arial" w:cs="Arial"/>
          <w:sz w:val="24"/>
          <w:szCs w:val="24"/>
        </w:rPr>
      </w:pPr>
    </w:p>
    <w:p w:rsidR="00FB4CFB" w:rsidRPr="00725C81" w:rsidRDefault="00FB4CFB" w:rsidP="00FB4CFB">
      <w:pPr>
        <w:pStyle w:val="CAPS"/>
        <w:numPr>
          <w:ilvl w:val="0"/>
          <w:numId w:val="31"/>
        </w:numPr>
        <w:ind w:left="284" w:hanging="284"/>
        <w:jc w:val="both"/>
        <w:rPr>
          <w:rFonts w:ascii="Arial" w:hAnsi="Arial" w:cs="Arial"/>
          <w:sz w:val="24"/>
          <w:szCs w:val="24"/>
        </w:rPr>
      </w:pPr>
      <w:r w:rsidRPr="00725C81">
        <w:rPr>
          <w:rFonts w:ascii="Arial" w:hAnsi="Arial" w:cs="Arial"/>
          <w:sz w:val="24"/>
          <w:szCs w:val="24"/>
        </w:rPr>
        <w:t>13/00507/FUL - Extension and alterations to infill part of 1st floor roof terrace to form residents lounge and insertion of new windows (amendment to 10/02891/FUL). PER 26th April 2013.</w:t>
      </w:r>
    </w:p>
    <w:p w:rsidR="00FB4CFB" w:rsidRPr="00725C81" w:rsidRDefault="00FB4CFB" w:rsidP="00FB4CFB">
      <w:pPr>
        <w:pStyle w:val="CAPS"/>
        <w:ind w:left="284" w:hanging="284"/>
        <w:jc w:val="both"/>
        <w:rPr>
          <w:rFonts w:ascii="Arial" w:hAnsi="Arial" w:cs="Arial"/>
          <w:sz w:val="24"/>
          <w:szCs w:val="24"/>
        </w:rPr>
      </w:pPr>
    </w:p>
    <w:p w:rsidR="00FB4CFB" w:rsidRPr="00725C81" w:rsidRDefault="00FB4CFB" w:rsidP="00FB4CFB">
      <w:pPr>
        <w:pStyle w:val="CAPS"/>
        <w:numPr>
          <w:ilvl w:val="0"/>
          <w:numId w:val="31"/>
        </w:numPr>
        <w:ind w:left="284" w:hanging="284"/>
        <w:jc w:val="both"/>
        <w:rPr>
          <w:rFonts w:ascii="Arial" w:hAnsi="Arial" w:cs="Arial"/>
          <w:sz w:val="24"/>
          <w:szCs w:val="24"/>
        </w:rPr>
      </w:pPr>
      <w:r w:rsidRPr="00725C81">
        <w:rPr>
          <w:rFonts w:ascii="Arial" w:hAnsi="Arial" w:cs="Arial"/>
          <w:sz w:val="24"/>
          <w:szCs w:val="24"/>
        </w:rPr>
        <w:t>13/00508/LBC - Extension and alterations to infill 1st floor roof terrace to form lounge at E elevation; infill of 4 windows; conversion of 1 bedroom to 2; insertion of 2 windows to S elevation and infill of vent to S elevation insertion of windows to E elevation (amendment to 10/02899/LBC). PER 25th April 2013.</w:t>
      </w:r>
    </w:p>
    <w:p w:rsidR="00FB4CFB" w:rsidRPr="00725C81" w:rsidRDefault="00FB4CFB" w:rsidP="00FB4CFB">
      <w:pPr>
        <w:pStyle w:val="CAPS"/>
        <w:ind w:left="284" w:hanging="284"/>
        <w:jc w:val="both"/>
        <w:rPr>
          <w:rFonts w:ascii="Arial" w:hAnsi="Arial" w:cs="Arial"/>
          <w:sz w:val="24"/>
          <w:szCs w:val="24"/>
        </w:rPr>
      </w:pPr>
    </w:p>
    <w:p w:rsidR="00FB4CFB" w:rsidRPr="00725C81" w:rsidRDefault="00FB4CFB" w:rsidP="00FB4CFB">
      <w:pPr>
        <w:pStyle w:val="CAPS"/>
        <w:numPr>
          <w:ilvl w:val="0"/>
          <w:numId w:val="31"/>
        </w:numPr>
        <w:ind w:left="284" w:hanging="284"/>
        <w:jc w:val="both"/>
        <w:rPr>
          <w:rFonts w:ascii="Arial" w:hAnsi="Arial" w:cs="Arial"/>
          <w:sz w:val="24"/>
          <w:szCs w:val="24"/>
        </w:rPr>
      </w:pPr>
      <w:r w:rsidRPr="00725C81">
        <w:rPr>
          <w:rFonts w:ascii="Arial" w:hAnsi="Arial" w:cs="Arial"/>
          <w:sz w:val="24"/>
          <w:szCs w:val="24"/>
        </w:rPr>
        <w:t xml:space="preserve">13/01942/LBC - External alterations involving replacement of office door with new window.  Internal alterations to ground floor involving removal of existing partition walls and doors; insertion of new partition walls, doors, structural </w:t>
      </w:r>
      <w:proofErr w:type="spellStart"/>
      <w:r w:rsidRPr="00725C81">
        <w:rPr>
          <w:rFonts w:ascii="Arial" w:hAnsi="Arial" w:cs="Arial"/>
          <w:sz w:val="24"/>
          <w:szCs w:val="24"/>
        </w:rPr>
        <w:t>steelworks</w:t>
      </w:r>
      <w:proofErr w:type="spellEnd"/>
      <w:r w:rsidRPr="00725C81">
        <w:rPr>
          <w:rFonts w:ascii="Arial" w:hAnsi="Arial" w:cs="Arial"/>
          <w:sz w:val="24"/>
          <w:szCs w:val="24"/>
        </w:rPr>
        <w:t xml:space="preserve"> and plasterboards; relocation of WCs; removal of staircase leading to first floor office and formation of new store.. PER 15th October 2013.</w:t>
      </w:r>
    </w:p>
    <w:p w:rsidR="00FB4CFB" w:rsidRPr="00725C81" w:rsidRDefault="00FB4CFB" w:rsidP="00FB4CFB">
      <w:pPr>
        <w:pStyle w:val="CAPS"/>
        <w:ind w:left="284" w:hanging="284"/>
        <w:jc w:val="both"/>
        <w:rPr>
          <w:rFonts w:ascii="Arial" w:hAnsi="Arial" w:cs="Arial"/>
          <w:sz w:val="24"/>
          <w:szCs w:val="24"/>
        </w:rPr>
      </w:pPr>
    </w:p>
    <w:p w:rsidR="00FB4CFB" w:rsidRPr="00725C81" w:rsidRDefault="00FB4CFB" w:rsidP="00FB4CFB">
      <w:pPr>
        <w:pStyle w:val="CAPS"/>
        <w:numPr>
          <w:ilvl w:val="0"/>
          <w:numId w:val="31"/>
        </w:numPr>
        <w:ind w:left="284" w:hanging="284"/>
        <w:jc w:val="both"/>
        <w:rPr>
          <w:rFonts w:ascii="Arial" w:hAnsi="Arial" w:cs="Arial"/>
          <w:sz w:val="24"/>
          <w:szCs w:val="24"/>
        </w:rPr>
      </w:pPr>
      <w:r w:rsidRPr="00725C81">
        <w:rPr>
          <w:rFonts w:ascii="Arial" w:hAnsi="Arial" w:cs="Arial"/>
          <w:sz w:val="24"/>
          <w:szCs w:val="24"/>
        </w:rPr>
        <w:t>13/00508/CND - Details submitted in compliance with conditions 9 (Materials - samples), 10 (First floor windows to match), 11 (Details of various plant) and 12 (Infill stone south elevation) of listed building consent 13/00508/LBC. PER 26th November 2013.</w:t>
      </w:r>
    </w:p>
    <w:p w:rsidR="00FB4CFB" w:rsidRPr="00725C81" w:rsidRDefault="00FB4CFB" w:rsidP="00FB4CFB">
      <w:pPr>
        <w:pStyle w:val="CAPS"/>
        <w:ind w:left="284" w:hanging="284"/>
        <w:jc w:val="both"/>
        <w:rPr>
          <w:rFonts w:ascii="Arial" w:hAnsi="Arial" w:cs="Arial"/>
          <w:sz w:val="24"/>
          <w:szCs w:val="24"/>
        </w:rPr>
      </w:pPr>
    </w:p>
    <w:p w:rsidR="00FB4CFB" w:rsidRPr="00725C81" w:rsidRDefault="00FB4CFB" w:rsidP="00FB4CFB">
      <w:pPr>
        <w:pStyle w:val="CAPS"/>
        <w:numPr>
          <w:ilvl w:val="0"/>
          <w:numId w:val="31"/>
        </w:numPr>
        <w:ind w:left="284" w:hanging="284"/>
        <w:jc w:val="both"/>
        <w:rPr>
          <w:rFonts w:ascii="Arial" w:hAnsi="Arial" w:cs="Arial"/>
          <w:sz w:val="24"/>
          <w:szCs w:val="24"/>
        </w:rPr>
      </w:pPr>
      <w:r w:rsidRPr="00725C81">
        <w:rPr>
          <w:rFonts w:ascii="Arial" w:hAnsi="Arial" w:cs="Arial"/>
          <w:sz w:val="24"/>
          <w:szCs w:val="24"/>
        </w:rPr>
        <w:t>10/02899/CND - Details submitted in compliance with condition 7 (Materials - sample panels) of listed building consent 10/02899/LBC. PER 26th November 2013.</w:t>
      </w:r>
    </w:p>
    <w:p w:rsidR="00FB4CFB" w:rsidRPr="00725C81" w:rsidRDefault="00FB4CFB" w:rsidP="00FB4CFB">
      <w:pPr>
        <w:pStyle w:val="CAPS"/>
        <w:ind w:left="284" w:hanging="284"/>
        <w:jc w:val="both"/>
        <w:rPr>
          <w:rFonts w:ascii="Arial" w:hAnsi="Arial" w:cs="Arial"/>
          <w:sz w:val="24"/>
          <w:szCs w:val="24"/>
        </w:rPr>
      </w:pPr>
    </w:p>
    <w:p w:rsidR="00FB4CFB" w:rsidRPr="00725C81" w:rsidRDefault="00FB4CFB" w:rsidP="00FB4CFB">
      <w:pPr>
        <w:pStyle w:val="CAPS"/>
        <w:numPr>
          <w:ilvl w:val="0"/>
          <w:numId w:val="31"/>
        </w:numPr>
        <w:ind w:left="284" w:hanging="284"/>
        <w:jc w:val="both"/>
        <w:rPr>
          <w:rFonts w:ascii="Arial" w:hAnsi="Arial" w:cs="Arial"/>
          <w:sz w:val="24"/>
          <w:szCs w:val="24"/>
        </w:rPr>
      </w:pPr>
      <w:r w:rsidRPr="00725C81">
        <w:rPr>
          <w:rFonts w:ascii="Arial" w:hAnsi="Arial" w:cs="Arial"/>
          <w:sz w:val="24"/>
          <w:szCs w:val="24"/>
        </w:rPr>
        <w:t>15/01759/FUL - Erection of cycle store (Retrospective). PER 14th August 2015.</w:t>
      </w:r>
    </w:p>
    <w:p w:rsidR="00FB4CFB" w:rsidRPr="00725C81" w:rsidRDefault="00FB4CFB" w:rsidP="00FB4CFB">
      <w:pPr>
        <w:pStyle w:val="CAPS"/>
        <w:ind w:left="284" w:hanging="284"/>
        <w:jc w:val="both"/>
        <w:rPr>
          <w:rFonts w:ascii="Arial" w:hAnsi="Arial" w:cs="Arial"/>
          <w:sz w:val="24"/>
          <w:szCs w:val="24"/>
        </w:rPr>
      </w:pPr>
    </w:p>
    <w:p w:rsidR="00FB4CFB" w:rsidRPr="00725C81" w:rsidRDefault="00FB4CFB" w:rsidP="00FB4CFB">
      <w:pPr>
        <w:pStyle w:val="CAPS"/>
        <w:numPr>
          <w:ilvl w:val="0"/>
          <w:numId w:val="31"/>
        </w:numPr>
        <w:ind w:left="284" w:hanging="284"/>
        <w:jc w:val="both"/>
        <w:rPr>
          <w:rFonts w:ascii="Arial" w:hAnsi="Arial" w:cs="Arial"/>
          <w:sz w:val="24"/>
          <w:szCs w:val="24"/>
        </w:rPr>
      </w:pPr>
      <w:r w:rsidRPr="00725C81">
        <w:rPr>
          <w:rFonts w:ascii="Arial" w:hAnsi="Arial" w:cs="Arial"/>
          <w:sz w:val="24"/>
          <w:szCs w:val="24"/>
        </w:rPr>
        <w:t>15/01783/LBC - Retention of cycle store. PER 14th August 2015.</w:t>
      </w:r>
    </w:p>
    <w:p w:rsidR="00FB4CFB" w:rsidRPr="00725C81" w:rsidRDefault="00FB4CFB" w:rsidP="00A62A30">
      <w:pPr>
        <w:pStyle w:val="ListParagraph"/>
        <w:rPr>
          <w:rFonts w:ascii="Arial" w:hAnsi="Arial" w:cs="Arial"/>
          <w:lang w:eastAsia="en-GB"/>
        </w:rPr>
      </w:pPr>
    </w:p>
    <w:p w:rsidR="00FB4CFB" w:rsidRPr="00725C81" w:rsidRDefault="00FB4CFB" w:rsidP="00A62A30">
      <w:pPr>
        <w:pStyle w:val="ListParagraph"/>
        <w:rPr>
          <w:rFonts w:ascii="Arial" w:hAnsi="Arial" w:cs="Arial"/>
          <w:lang w:eastAsia="en-GB"/>
        </w:rPr>
      </w:pPr>
    </w:p>
    <w:p w:rsidR="00FB4CFB" w:rsidRPr="00725C81" w:rsidRDefault="00FB4CFB" w:rsidP="00FB4CFB">
      <w:pPr>
        <w:pStyle w:val="Heading1"/>
        <w:numPr>
          <w:ilvl w:val="0"/>
          <w:numId w:val="8"/>
        </w:numPr>
        <w:ind w:left="0" w:hanging="567"/>
        <w:rPr>
          <w:rFonts w:ascii="Arial" w:hAnsi="Arial" w:cs="Arial"/>
          <w:sz w:val="24"/>
        </w:rPr>
      </w:pPr>
      <w:r w:rsidRPr="00725C81">
        <w:rPr>
          <w:rFonts w:ascii="Arial" w:hAnsi="Arial" w:cs="Arial"/>
          <w:sz w:val="24"/>
        </w:rPr>
        <w:t>Representations</w:t>
      </w:r>
      <w:r w:rsidR="00551A03" w:rsidRPr="00725C81">
        <w:rPr>
          <w:rFonts w:ascii="Arial" w:hAnsi="Arial" w:cs="Arial"/>
          <w:sz w:val="24"/>
        </w:rPr>
        <w:t xml:space="preserve"> </w:t>
      </w:r>
      <w:r w:rsidR="003604AD" w:rsidRPr="00725C81">
        <w:rPr>
          <w:rFonts w:ascii="Arial" w:hAnsi="Arial" w:cs="Arial"/>
          <w:sz w:val="24"/>
        </w:rPr>
        <w:t>Received</w:t>
      </w:r>
      <w:r w:rsidRPr="00725C81">
        <w:rPr>
          <w:rFonts w:ascii="Arial" w:hAnsi="Arial" w:cs="Arial"/>
          <w:sz w:val="24"/>
        </w:rPr>
        <w:t>:</w:t>
      </w:r>
    </w:p>
    <w:p w:rsidR="00551A03" w:rsidRPr="00725C81" w:rsidRDefault="00551A03" w:rsidP="00551A03">
      <w:pPr>
        <w:pStyle w:val="Heading1"/>
        <w:numPr>
          <w:ilvl w:val="1"/>
          <w:numId w:val="8"/>
        </w:numPr>
        <w:ind w:left="0" w:hanging="426"/>
        <w:rPr>
          <w:rFonts w:ascii="Arial" w:hAnsi="Arial" w:cs="Arial"/>
          <w:b w:val="0"/>
          <w:sz w:val="24"/>
        </w:rPr>
      </w:pPr>
      <w:r w:rsidRPr="00725C81">
        <w:rPr>
          <w:rFonts w:ascii="Arial" w:hAnsi="Arial" w:cs="Arial"/>
          <w:b w:val="0"/>
          <w:sz w:val="24"/>
        </w:rPr>
        <w:t>2 letters of objection were received, and the comments are summarised below:</w:t>
      </w:r>
    </w:p>
    <w:p w:rsidR="00551A03" w:rsidRPr="00725C81" w:rsidRDefault="00551A03" w:rsidP="00551A03">
      <w:pPr>
        <w:widowControl w:val="0"/>
        <w:jc w:val="both"/>
        <w:rPr>
          <w:rFonts w:ascii="Arial" w:hAnsi="Arial" w:cs="Arial"/>
          <w:b/>
          <w:bCs/>
        </w:rPr>
      </w:pPr>
    </w:p>
    <w:p w:rsidR="00551A03" w:rsidRPr="00725C81" w:rsidRDefault="00551A03" w:rsidP="00551A03">
      <w:pPr>
        <w:pStyle w:val="ListParagraph"/>
        <w:numPr>
          <w:ilvl w:val="0"/>
          <w:numId w:val="27"/>
        </w:numPr>
        <w:ind w:left="426" w:hanging="426"/>
        <w:jc w:val="both"/>
        <w:rPr>
          <w:rFonts w:ascii="Arial" w:hAnsi="Arial" w:cs="Arial"/>
        </w:rPr>
      </w:pPr>
      <w:r w:rsidRPr="00725C81">
        <w:rPr>
          <w:rFonts w:ascii="Arial" w:hAnsi="Arial" w:cs="Arial"/>
        </w:rPr>
        <w:t>Detrimental impact on the appearance of the Listed Building and the church, and character of the Conservation Area.</w:t>
      </w:r>
    </w:p>
    <w:p w:rsidR="00551A03" w:rsidRPr="00725C81" w:rsidRDefault="00551A03" w:rsidP="00551A03">
      <w:pPr>
        <w:jc w:val="both"/>
        <w:rPr>
          <w:rFonts w:ascii="Arial" w:hAnsi="Arial" w:cs="Arial"/>
        </w:rPr>
      </w:pPr>
    </w:p>
    <w:p w:rsidR="00551A03" w:rsidRPr="00725C81" w:rsidRDefault="00551A03" w:rsidP="00551A03">
      <w:pPr>
        <w:pStyle w:val="Heading1"/>
        <w:numPr>
          <w:ilvl w:val="1"/>
          <w:numId w:val="8"/>
        </w:numPr>
        <w:ind w:left="0" w:hanging="426"/>
        <w:rPr>
          <w:rFonts w:ascii="Arial" w:hAnsi="Arial" w:cs="Arial"/>
          <w:b w:val="0"/>
          <w:sz w:val="24"/>
        </w:rPr>
      </w:pPr>
      <w:r w:rsidRPr="00725C81">
        <w:rPr>
          <w:rFonts w:ascii="Arial" w:hAnsi="Arial" w:cs="Arial"/>
          <w:b w:val="0"/>
          <w:sz w:val="24"/>
        </w:rPr>
        <w:t>42 letters of both neutral comments and support were received, of which 18 contained relevant material planning considerations summarised as follows:</w:t>
      </w:r>
    </w:p>
    <w:p w:rsidR="00551A03" w:rsidRPr="00725C81" w:rsidRDefault="00551A03" w:rsidP="00551A03">
      <w:pPr>
        <w:widowControl w:val="0"/>
        <w:jc w:val="both"/>
        <w:rPr>
          <w:rFonts w:ascii="Arial" w:hAnsi="Arial" w:cs="Arial"/>
          <w:b/>
          <w:bCs/>
        </w:rPr>
      </w:pPr>
    </w:p>
    <w:p w:rsidR="00551A03" w:rsidRPr="00725C81" w:rsidRDefault="00551A03" w:rsidP="00551A03">
      <w:pPr>
        <w:pStyle w:val="ListParagraph"/>
        <w:numPr>
          <w:ilvl w:val="0"/>
          <w:numId w:val="27"/>
        </w:numPr>
        <w:ind w:left="426" w:hanging="426"/>
        <w:jc w:val="both"/>
        <w:rPr>
          <w:rFonts w:ascii="Arial" w:hAnsi="Arial" w:cs="Arial"/>
        </w:rPr>
      </w:pPr>
      <w:r w:rsidRPr="00725C81">
        <w:rPr>
          <w:rFonts w:ascii="Arial" w:hAnsi="Arial" w:cs="Arial"/>
        </w:rPr>
        <w:t>No actual perceived harm caused to the building’s façade, and providing improved functionality.</w:t>
      </w:r>
    </w:p>
    <w:p w:rsidR="00FB4CFB" w:rsidRPr="00725C81" w:rsidRDefault="00FB4CFB" w:rsidP="00FB4CFB">
      <w:pPr>
        <w:pStyle w:val="ListParagraph"/>
        <w:ind w:left="426"/>
        <w:jc w:val="both"/>
        <w:rPr>
          <w:rFonts w:ascii="Arial" w:hAnsi="Arial" w:cs="Arial"/>
        </w:rPr>
      </w:pPr>
    </w:p>
    <w:p w:rsidR="00FB4CFB" w:rsidRPr="00725C81" w:rsidRDefault="00FB4CFB" w:rsidP="00FB4CFB">
      <w:pPr>
        <w:pStyle w:val="ListParagraph"/>
        <w:ind w:left="426"/>
        <w:jc w:val="both"/>
        <w:rPr>
          <w:rFonts w:ascii="Arial" w:hAnsi="Arial" w:cs="Arial"/>
        </w:rPr>
      </w:pPr>
    </w:p>
    <w:p w:rsidR="00FB4CFB" w:rsidRPr="00725C81" w:rsidRDefault="00FB4CFB" w:rsidP="00FB4CFB">
      <w:pPr>
        <w:pStyle w:val="Heading1"/>
        <w:numPr>
          <w:ilvl w:val="0"/>
          <w:numId w:val="8"/>
        </w:numPr>
        <w:ind w:left="0" w:hanging="567"/>
        <w:rPr>
          <w:rFonts w:ascii="Arial" w:hAnsi="Arial" w:cs="Arial"/>
          <w:sz w:val="24"/>
          <w:lang w:eastAsia="en-GB"/>
        </w:rPr>
      </w:pPr>
      <w:r w:rsidRPr="00725C81">
        <w:rPr>
          <w:rFonts w:ascii="Arial" w:hAnsi="Arial" w:cs="Arial"/>
          <w:sz w:val="24"/>
          <w:lang w:eastAsia="en-GB"/>
        </w:rPr>
        <w:t xml:space="preserve">Statutory </w:t>
      </w:r>
      <w:proofErr w:type="spellStart"/>
      <w:r w:rsidRPr="00725C81">
        <w:rPr>
          <w:rFonts w:ascii="Arial" w:hAnsi="Arial" w:cs="Arial"/>
          <w:sz w:val="24"/>
          <w:lang w:eastAsia="en-GB"/>
        </w:rPr>
        <w:t>Consultees</w:t>
      </w:r>
      <w:proofErr w:type="spellEnd"/>
      <w:r w:rsidRPr="00725C81">
        <w:rPr>
          <w:rFonts w:ascii="Arial" w:hAnsi="Arial" w:cs="Arial"/>
          <w:sz w:val="24"/>
          <w:lang w:eastAsia="en-GB"/>
        </w:rPr>
        <w:t xml:space="preserve">: </w:t>
      </w:r>
    </w:p>
    <w:p w:rsidR="00FB4CFB" w:rsidRPr="00725C81" w:rsidRDefault="00FB4CFB" w:rsidP="00FB4CFB">
      <w:pPr>
        <w:pStyle w:val="Heading1"/>
        <w:numPr>
          <w:ilvl w:val="1"/>
          <w:numId w:val="8"/>
        </w:numPr>
        <w:ind w:left="0" w:hanging="426"/>
        <w:rPr>
          <w:rFonts w:ascii="Arial" w:hAnsi="Arial" w:cs="Arial"/>
          <w:b w:val="0"/>
          <w:sz w:val="24"/>
          <w:lang w:eastAsia="en-GB"/>
        </w:rPr>
      </w:pPr>
      <w:r w:rsidRPr="00725C81">
        <w:rPr>
          <w:rFonts w:ascii="Arial" w:hAnsi="Arial" w:cs="Arial"/>
          <w:b w:val="0"/>
          <w:sz w:val="24"/>
          <w:lang w:eastAsia="en-GB"/>
        </w:rPr>
        <w:t xml:space="preserve">Historic England - Raising objection, for the following reasons: </w:t>
      </w:r>
    </w:p>
    <w:p w:rsidR="00FB4CFB" w:rsidRPr="00725C81" w:rsidRDefault="00FB4CFB" w:rsidP="00FB4CFB">
      <w:pPr>
        <w:rPr>
          <w:rFonts w:ascii="Arial" w:hAnsi="Arial" w:cs="Arial"/>
          <w:lang w:eastAsia="en-GB"/>
        </w:rPr>
      </w:pPr>
    </w:p>
    <w:p w:rsidR="00FB4CFB" w:rsidRPr="00725C81" w:rsidRDefault="00FB4CFB" w:rsidP="00FB4CFB">
      <w:pPr>
        <w:widowControl w:val="0"/>
        <w:jc w:val="both"/>
        <w:rPr>
          <w:rFonts w:ascii="Arial" w:hAnsi="Arial" w:cs="Arial"/>
          <w:i/>
        </w:rPr>
      </w:pPr>
      <w:r w:rsidRPr="00725C81">
        <w:rPr>
          <w:rFonts w:ascii="Arial" w:hAnsi="Arial" w:cs="Arial"/>
          <w:i/>
        </w:rPr>
        <w:t>“In views towards the hotel, the awning is visible rising up above its front boundary wall. The very clunky horizontal top rail, vertical elements and its colour give the awning a strong presence in this view. These details also mean that its overall design quality is poor and it is in our view an incongruous and unattractive addition to the historic townscape. We think this seriously compromises views towards the hotel and the Church of St Giles and therefore conclude that it harms the aesthetic qualities of the townscape and thus the significance of the conservation area, the Grade I listed Church of St Giles and the Grade II Old Parsonage Hotel.”</w:t>
      </w:r>
    </w:p>
    <w:p w:rsidR="00FB4CFB" w:rsidRPr="00725C81" w:rsidRDefault="00FB4CFB" w:rsidP="00FB4CFB">
      <w:pPr>
        <w:rPr>
          <w:rFonts w:ascii="Arial" w:hAnsi="Arial" w:cs="Arial"/>
          <w:lang w:eastAsia="en-GB"/>
        </w:rPr>
      </w:pPr>
    </w:p>
    <w:p w:rsidR="00FB4CFB" w:rsidRPr="00725C81" w:rsidRDefault="00FB4CFB" w:rsidP="00FB4CFB">
      <w:pPr>
        <w:rPr>
          <w:rFonts w:ascii="Arial" w:hAnsi="Arial" w:cs="Arial"/>
          <w:lang w:eastAsia="en-GB"/>
        </w:rPr>
      </w:pPr>
    </w:p>
    <w:p w:rsidR="00FB4CFB" w:rsidRPr="00725C81" w:rsidRDefault="00FB4CFB" w:rsidP="00FB4CFB">
      <w:pPr>
        <w:pStyle w:val="Heading1"/>
        <w:widowControl w:val="0"/>
        <w:numPr>
          <w:ilvl w:val="1"/>
          <w:numId w:val="8"/>
        </w:numPr>
        <w:ind w:left="0" w:hanging="426"/>
        <w:rPr>
          <w:rFonts w:ascii="Arial" w:hAnsi="Arial" w:cs="Arial"/>
          <w:b w:val="0"/>
          <w:sz w:val="24"/>
          <w:lang w:eastAsia="en-GB"/>
        </w:rPr>
      </w:pPr>
      <w:r w:rsidRPr="00725C81">
        <w:rPr>
          <w:rFonts w:ascii="Arial" w:hAnsi="Arial" w:cs="Arial"/>
          <w:b w:val="0"/>
          <w:sz w:val="24"/>
          <w:lang w:eastAsia="en-GB"/>
        </w:rPr>
        <w:t>Oxfordshire Architectural &amp; Historical Society - Raising objection, for the following reasons:</w:t>
      </w:r>
    </w:p>
    <w:p w:rsidR="00FB4CFB" w:rsidRPr="00725C81" w:rsidRDefault="00FB4CFB" w:rsidP="00FB4CFB">
      <w:pPr>
        <w:rPr>
          <w:rFonts w:ascii="Arial" w:hAnsi="Arial" w:cs="Arial"/>
          <w:lang w:eastAsia="en-GB"/>
        </w:rPr>
      </w:pPr>
    </w:p>
    <w:p w:rsidR="00FB4CFB" w:rsidRPr="00725C81" w:rsidRDefault="00FB4CFB" w:rsidP="00FB4CFB">
      <w:pPr>
        <w:widowControl w:val="0"/>
        <w:jc w:val="both"/>
        <w:rPr>
          <w:rFonts w:ascii="Arial" w:hAnsi="Arial" w:cs="Arial"/>
          <w:i/>
        </w:rPr>
      </w:pPr>
      <w:r w:rsidRPr="00725C81">
        <w:rPr>
          <w:rFonts w:ascii="Arial" w:hAnsi="Arial" w:cs="Arial"/>
          <w:i/>
        </w:rPr>
        <w:t>‘’The ‘Heritage Statement’ suggests that it is sympathetically designed, high quality and low key. It is none of these things – it is clunky, ugly and grossly obtrusive. It is located directly in front of the listed building on land that appears from the historic views supplied never to have had a structure on it in the past. The canopy both when erected and when not in use prevents the visitor having a full view of the façade of the Old Parsonage. It thus causes significant harm to the setting of the listed building without any commensurate public benefit – the benefits to the hotel as stated in the application are for private commercial gain.’’</w:t>
      </w:r>
    </w:p>
    <w:p w:rsidR="00FB4CFB" w:rsidRPr="00725C81" w:rsidRDefault="00FB4CFB" w:rsidP="00A62A30">
      <w:pPr>
        <w:pStyle w:val="ListParagraph"/>
        <w:rPr>
          <w:rFonts w:ascii="Arial" w:hAnsi="Arial" w:cs="Arial"/>
          <w:lang w:eastAsia="en-GB"/>
        </w:rPr>
      </w:pPr>
    </w:p>
    <w:p w:rsidR="00FB4CFB" w:rsidRPr="00725C81" w:rsidRDefault="00FB4CFB" w:rsidP="00A62A30">
      <w:pPr>
        <w:pStyle w:val="ListParagraph"/>
        <w:rPr>
          <w:rFonts w:ascii="Arial" w:hAnsi="Arial" w:cs="Arial"/>
          <w:lang w:eastAsia="en-GB"/>
        </w:rPr>
      </w:pPr>
    </w:p>
    <w:p w:rsidR="0047789D" w:rsidRPr="00725C81" w:rsidRDefault="00FB4CFB" w:rsidP="0047789D">
      <w:pPr>
        <w:pStyle w:val="Heading1"/>
        <w:numPr>
          <w:ilvl w:val="0"/>
          <w:numId w:val="8"/>
        </w:numPr>
        <w:ind w:left="0" w:hanging="567"/>
        <w:rPr>
          <w:rFonts w:ascii="Arial" w:hAnsi="Arial" w:cs="Arial"/>
          <w:sz w:val="24"/>
        </w:rPr>
      </w:pPr>
      <w:r w:rsidRPr="00725C81">
        <w:rPr>
          <w:rFonts w:ascii="Arial" w:hAnsi="Arial" w:cs="Arial"/>
          <w:sz w:val="24"/>
        </w:rPr>
        <w:t>Site Description:</w:t>
      </w:r>
    </w:p>
    <w:p w:rsidR="00F57169" w:rsidRPr="00725C81" w:rsidRDefault="005863F7" w:rsidP="00F57169">
      <w:pPr>
        <w:pStyle w:val="ListParagraph"/>
        <w:numPr>
          <w:ilvl w:val="0"/>
          <w:numId w:val="9"/>
        </w:numPr>
        <w:ind w:left="0" w:hanging="426"/>
        <w:jc w:val="both"/>
        <w:rPr>
          <w:rFonts w:ascii="Arial" w:hAnsi="Arial" w:cs="Arial"/>
        </w:rPr>
      </w:pPr>
      <w:r w:rsidRPr="00725C81">
        <w:rPr>
          <w:rFonts w:ascii="Arial" w:hAnsi="Arial" w:cs="Arial"/>
          <w:bCs/>
        </w:rPr>
        <w:t xml:space="preserve">The application site and its surroundings fall within the defined settlement boundary of Oxford (city centre commercial area) as depicted on the Local Plan Policies Map.  </w:t>
      </w:r>
      <w:r w:rsidRPr="00725C81">
        <w:rPr>
          <w:rFonts w:ascii="Arial" w:hAnsi="Arial" w:cs="Arial"/>
        </w:rPr>
        <w:t>The site</w:t>
      </w:r>
      <w:r w:rsidRPr="00725C81">
        <w:rPr>
          <w:rFonts w:ascii="Arial" w:hAnsi="Arial" w:cs="Arial"/>
          <w:bCs/>
        </w:rPr>
        <w:t xml:space="preserve"> </w:t>
      </w:r>
      <w:r w:rsidRPr="00725C81">
        <w:rPr>
          <w:rFonts w:ascii="Arial" w:hAnsi="Arial" w:cs="Arial"/>
        </w:rPr>
        <w:t>falls within the North Ward (OS Grid Ref: E451145 N207017), which is located on the Western side of Banbury Road.  Site constraints that are of material planning relevance include; Central Conservation Area; Development affecting the setting of a Grade I and Grade II Listed Building.</w:t>
      </w:r>
    </w:p>
    <w:p w:rsidR="00F57169" w:rsidRPr="00725C81" w:rsidRDefault="00F57169" w:rsidP="00F57169">
      <w:pPr>
        <w:pStyle w:val="ListParagraph"/>
        <w:ind w:left="0"/>
        <w:jc w:val="both"/>
        <w:rPr>
          <w:rFonts w:ascii="Arial" w:hAnsi="Arial" w:cs="Arial"/>
        </w:rPr>
      </w:pPr>
    </w:p>
    <w:p w:rsidR="005863F7" w:rsidRPr="00725C81" w:rsidRDefault="005863F7" w:rsidP="00F57169">
      <w:pPr>
        <w:pStyle w:val="ListParagraph"/>
        <w:numPr>
          <w:ilvl w:val="0"/>
          <w:numId w:val="9"/>
        </w:numPr>
        <w:ind w:left="0" w:hanging="426"/>
        <w:jc w:val="both"/>
        <w:rPr>
          <w:rFonts w:ascii="Arial" w:hAnsi="Arial" w:cs="Arial"/>
        </w:rPr>
      </w:pPr>
      <w:r w:rsidRPr="00725C81">
        <w:rPr>
          <w:rFonts w:ascii="Arial" w:hAnsi="Arial" w:cs="Arial"/>
        </w:rPr>
        <w:t xml:space="preserve">In terms of its immediate context, the applicants property </w:t>
      </w:r>
      <w:r w:rsidRPr="00725C81">
        <w:rPr>
          <w:rFonts w:ascii="Arial" w:hAnsi="Arial" w:cs="Arial"/>
          <w:bCs/>
        </w:rPr>
        <w:t>(</w:t>
      </w:r>
      <w:r w:rsidRPr="00725C81">
        <w:rPr>
          <w:rFonts w:ascii="Arial" w:hAnsi="Arial" w:cs="Arial"/>
          <w:lang w:eastAsia="en-GB"/>
        </w:rPr>
        <w:t>UPRN: 200004676546)</w:t>
      </w:r>
      <w:r w:rsidRPr="00725C81">
        <w:rPr>
          <w:rFonts w:ascii="Arial" w:hAnsi="Arial" w:cs="Arial"/>
        </w:rPr>
        <w:t xml:space="preserve"> is an end detached building.  The front east elevation of the Old Parsonage is its primary elevation and is of considerable architectural significance. </w:t>
      </w:r>
      <w:r w:rsidR="00F57169" w:rsidRPr="00725C81">
        <w:rPr>
          <w:rFonts w:ascii="Arial" w:hAnsi="Arial" w:cs="Arial"/>
        </w:rPr>
        <w:t>The Old Parsonage Hotel is a grade II listed building dating to the early 17th century having been restored at a later date. The east elevation fronts onto Banbury Road and is of coursed rubble stone construction with two gables, stone copings, ball finials and a stone slate roof. The ground floor has three stone doorways with 4-centred heads, moulded jambs and spandrels, with that on the South having been renewed.  In a spandrel of the centre doorway is the date 1659. The window openings have stone mullions with moulded stone cornices and leaded casement windows. Along the front boundary is a substantial coursed rubble stone wall with arched gated entrances, which runs parallel with Banbury Road.</w:t>
      </w:r>
    </w:p>
    <w:p w:rsidR="005863F7" w:rsidRPr="00725C81" w:rsidRDefault="005863F7" w:rsidP="005863F7">
      <w:pPr>
        <w:pStyle w:val="ListParagraph"/>
        <w:rPr>
          <w:rFonts w:ascii="Arial" w:hAnsi="Arial" w:cs="Arial"/>
        </w:rPr>
      </w:pPr>
    </w:p>
    <w:p w:rsidR="00845AF9" w:rsidRPr="00725C81" w:rsidRDefault="00845AF9" w:rsidP="00845AF9">
      <w:pPr>
        <w:rPr>
          <w:rFonts w:ascii="Arial" w:hAnsi="Arial" w:cs="Arial"/>
        </w:rPr>
      </w:pPr>
    </w:p>
    <w:p w:rsidR="007F4CEB" w:rsidRPr="00725C81" w:rsidRDefault="00FB4CFB" w:rsidP="007F4CEB">
      <w:pPr>
        <w:pStyle w:val="Heading1"/>
        <w:numPr>
          <w:ilvl w:val="0"/>
          <w:numId w:val="8"/>
        </w:numPr>
        <w:ind w:left="0" w:hanging="567"/>
        <w:rPr>
          <w:rFonts w:ascii="Arial" w:hAnsi="Arial" w:cs="Arial"/>
          <w:sz w:val="24"/>
        </w:rPr>
      </w:pPr>
      <w:r w:rsidRPr="00725C81">
        <w:rPr>
          <w:rFonts w:ascii="Arial" w:hAnsi="Arial" w:cs="Arial"/>
          <w:sz w:val="24"/>
        </w:rPr>
        <w:t>Proposed Development:</w:t>
      </w:r>
    </w:p>
    <w:p w:rsidR="005863F7" w:rsidRPr="00725C81" w:rsidRDefault="005863F7" w:rsidP="005863F7">
      <w:pPr>
        <w:pStyle w:val="Heading1"/>
        <w:numPr>
          <w:ilvl w:val="1"/>
          <w:numId w:val="8"/>
        </w:numPr>
        <w:ind w:left="0" w:hanging="426"/>
        <w:rPr>
          <w:rFonts w:ascii="Arial" w:hAnsi="Arial" w:cs="Arial"/>
          <w:b w:val="0"/>
          <w:sz w:val="24"/>
        </w:rPr>
      </w:pPr>
      <w:r w:rsidRPr="00725C81">
        <w:rPr>
          <w:rFonts w:ascii="Arial" w:hAnsi="Arial" w:cs="Arial"/>
          <w:b w:val="0"/>
          <w:sz w:val="24"/>
        </w:rPr>
        <w:t>This application seeks retrospective planning permission for a freestanding canopy and frame which is sited in the paved seating area to the front of the building behind the stone boundary wall and spans a substantial distance across the width of the plot.  The structure has acrylic canopies and a metal frame which comprises in-built heaters, lighting and retractable canopy storage, and as a result is substantial in size. The structure projects above the surrounding boundary wall and the ground floor windows and do</w:t>
      </w:r>
      <w:r w:rsidR="00684CD7" w:rsidRPr="00725C81">
        <w:rPr>
          <w:rFonts w:ascii="Arial" w:hAnsi="Arial" w:cs="Arial"/>
          <w:b w:val="0"/>
          <w:sz w:val="24"/>
        </w:rPr>
        <w:t>ors in the front east elevation</w:t>
      </w:r>
      <w:r w:rsidRPr="00725C81">
        <w:rPr>
          <w:rFonts w:ascii="Arial" w:hAnsi="Arial" w:cs="Arial"/>
          <w:b w:val="0"/>
          <w:sz w:val="24"/>
        </w:rPr>
        <w:t>.</w:t>
      </w:r>
    </w:p>
    <w:p w:rsidR="00831135" w:rsidRPr="00725C81" w:rsidRDefault="00831135" w:rsidP="00831135">
      <w:pPr>
        <w:pStyle w:val="Heading1"/>
        <w:rPr>
          <w:rFonts w:ascii="Arial" w:hAnsi="Arial" w:cs="Arial"/>
          <w:b w:val="0"/>
          <w:sz w:val="24"/>
        </w:rPr>
      </w:pPr>
    </w:p>
    <w:p w:rsidR="0001084F" w:rsidRPr="00725C81" w:rsidRDefault="0001084F" w:rsidP="005F6FCD">
      <w:pPr>
        <w:overflowPunct w:val="0"/>
        <w:autoSpaceDE w:val="0"/>
        <w:autoSpaceDN w:val="0"/>
        <w:adjustRightInd w:val="0"/>
        <w:jc w:val="both"/>
        <w:textAlignment w:val="baseline"/>
        <w:rPr>
          <w:rFonts w:ascii="Arial" w:hAnsi="Arial" w:cs="Arial"/>
        </w:rPr>
      </w:pPr>
    </w:p>
    <w:p w:rsidR="00FB4CFB" w:rsidRPr="00725C81" w:rsidRDefault="00FB4CFB" w:rsidP="00FB4CFB">
      <w:pPr>
        <w:pStyle w:val="Heading1"/>
        <w:numPr>
          <w:ilvl w:val="0"/>
          <w:numId w:val="8"/>
        </w:numPr>
        <w:ind w:left="0" w:hanging="567"/>
        <w:rPr>
          <w:rFonts w:ascii="Arial" w:hAnsi="Arial" w:cs="Arial"/>
          <w:sz w:val="24"/>
        </w:rPr>
      </w:pPr>
      <w:r w:rsidRPr="00725C81">
        <w:rPr>
          <w:rFonts w:ascii="Arial" w:hAnsi="Arial" w:cs="Arial"/>
          <w:sz w:val="24"/>
        </w:rPr>
        <w:t>Officers Assessment:</w:t>
      </w:r>
    </w:p>
    <w:p w:rsidR="00551A03" w:rsidRPr="00725C81" w:rsidRDefault="00FB4CFB" w:rsidP="00551A03">
      <w:pPr>
        <w:pStyle w:val="ListParagraph"/>
        <w:numPr>
          <w:ilvl w:val="0"/>
          <w:numId w:val="15"/>
        </w:numPr>
        <w:ind w:left="0" w:hanging="426"/>
        <w:jc w:val="both"/>
        <w:rPr>
          <w:rFonts w:ascii="Arial" w:hAnsi="Arial" w:cs="Arial"/>
          <w:lang w:eastAsia="en-GB"/>
        </w:rPr>
      </w:pPr>
      <w:r w:rsidRPr="00725C81">
        <w:rPr>
          <w:rFonts w:ascii="Arial" w:hAnsi="Arial" w:cs="Arial"/>
        </w:rPr>
        <w:t>Officers consider the principal determining issues to be:</w:t>
      </w:r>
    </w:p>
    <w:p w:rsidR="00551A03" w:rsidRPr="00725C81" w:rsidRDefault="00551A03" w:rsidP="00551A03">
      <w:pPr>
        <w:pStyle w:val="ListParagraph"/>
        <w:ind w:left="0"/>
        <w:jc w:val="both"/>
        <w:rPr>
          <w:rFonts w:ascii="Arial" w:hAnsi="Arial" w:cs="Arial"/>
        </w:rPr>
      </w:pPr>
    </w:p>
    <w:p w:rsidR="00551A03" w:rsidRPr="00725C81" w:rsidRDefault="00551A03" w:rsidP="00551A03">
      <w:pPr>
        <w:pStyle w:val="ListParagraph"/>
        <w:numPr>
          <w:ilvl w:val="0"/>
          <w:numId w:val="29"/>
        </w:numPr>
        <w:overflowPunct w:val="0"/>
        <w:autoSpaceDE w:val="0"/>
        <w:autoSpaceDN w:val="0"/>
        <w:adjustRightInd w:val="0"/>
        <w:ind w:left="426" w:hanging="426"/>
        <w:jc w:val="both"/>
        <w:textAlignment w:val="baseline"/>
        <w:rPr>
          <w:rFonts w:ascii="Arial" w:hAnsi="Arial" w:cs="Arial"/>
        </w:rPr>
      </w:pPr>
      <w:r w:rsidRPr="00725C81">
        <w:rPr>
          <w:rFonts w:ascii="Arial" w:hAnsi="Arial" w:cs="Arial"/>
        </w:rPr>
        <w:t>The principle of development;</w:t>
      </w:r>
    </w:p>
    <w:p w:rsidR="00551A03" w:rsidRPr="00725C81" w:rsidRDefault="00551A03" w:rsidP="00551A03">
      <w:pPr>
        <w:pStyle w:val="ListParagraph"/>
        <w:ind w:left="0"/>
        <w:jc w:val="both"/>
        <w:rPr>
          <w:rFonts w:ascii="Arial" w:hAnsi="Arial" w:cs="Arial"/>
        </w:rPr>
      </w:pPr>
    </w:p>
    <w:p w:rsidR="00551A03" w:rsidRPr="00725C81" w:rsidRDefault="00551A03" w:rsidP="00551A03">
      <w:pPr>
        <w:pStyle w:val="ListParagraph"/>
        <w:numPr>
          <w:ilvl w:val="0"/>
          <w:numId w:val="29"/>
        </w:numPr>
        <w:overflowPunct w:val="0"/>
        <w:autoSpaceDE w:val="0"/>
        <w:autoSpaceDN w:val="0"/>
        <w:adjustRightInd w:val="0"/>
        <w:ind w:left="426" w:hanging="426"/>
        <w:jc w:val="both"/>
        <w:textAlignment w:val="baseline"/>
        <w:rPr>
          <w:rFonts w:ascii="Arial" w:hAnsi="Arial" w:cs="Arial"/>
        </w:rPr>
      </w:pPr>
      <w:r w:rsidRPr="00725C81">
        <w:rPr>
          <w:rFonts w:ascii="Arial" w:hAnsi="Arial" w:cs="Arial"/>
        </w:rPr>
        <w:t>Whether the proposal would preserve or enhance the appearance of a Grade II Listed Building;</w:t>
      </w:r>
    </w:p>
    <w:p w:rsidR="00551A03" w:rsidRPr="00725C81" w:rsidRDefault="00551A03" w:rsidP="00551A03">
      <w:pPr>
        <w:pStyle w:val="ListParagraph"/>
        <w:ind w:left="426" w:hanging="426"/>
        <w:rPr>
          <w:rFonts w:ascii="Arial" w:hAnsi="Arial" w:cs="Arial"/>
        </w:rPr>
      </w:pPr>
    </w:p>
    <w:p w:rsidR="00551A03" w:rsidRPr="00725C81" w:rsidRDefault="00551A03" w:rsidP="00551A03">
      <w:pPr>
        <w:pStyle w:val="ListParagraph"/>
        <w:numPr>
          <w:ilvl w:val="0"/>
          <w:numId w:val="29"/>
        </w:numPr>
        <w:overflowPunct w:val="0"/>
        <w:autoSpaceDE w:val="0"/>
        <w:autoSpaceDN w:val="0"/>
        <w:adjustRightInd w:val="0"/>
        <w:ind w:left="426" w:hanging="426"/>
        <w:jc w:val="both"/>
        <w:textAlignment w:val="baseline"/>
        <w:rPr>
          <w:rFonts w:ascii="Arial" w:hAnsi="Arial" w:cs="Arial"/>
        </w:rPr>
      </w:pPr>
      <w:r w:rsidRPr="00725C81">
        <w:rPr>
          <w:rFonts w:ascii="Arial" w:hAnsi="Arial" w:cs="Arial"/>
        </w:rPr>
        <w:t>Whether the proposal would preserve or enhance the setting of a Grade I Listed Building;</w:t>
      </w:r>
    </w:p>
    <w:p w:rsidR="00551A03" w:rsidRPr="00725C81" w:rsidRDefault="00551A03" w:rsidP="00551A03">
      <w:pPr>
        <w:pStyle w:val="ListParagraph"/>
        <w:rPr>
          <w:rFonts w:ascii="Arial" w:hAnsi="Arial" w:cs="Arial"/>
        </w:rPr>
      </w:pPr>
    </w:p>
    <w:p w:rsidR="00551A03" w:rsidRPr="00725C81" w:rsidRDefault="00551A03" w:rsidP="00551A03">
      <w:pPr>
        <w:pStyle w:val="ListParagraph"/>
        <w:numPr>
          <w:ilvl w:val="0"/>
          <w:numId w:val="29"/>
        </w:numPr>
        <w:overflowPunct w:val="0"/>
        <w:autoSpaceDE w:val="0"/>
        <w:autoSpaceDN w:val="0"/>
        <w:adjustRightInd w:val="0"/>
        <w:ind w:left="426" w:hanging="426"/>
        <w:jc w:val="both"/>
        <w:textAlignment w:val="baseline"/>
        <w:rPr>
          <w:rFonts w:ascii="Arial" w:hAnsi="Arial" w:cs="Arial"/>
        </w:rPr>
      </w:pPr>
      <w:r w:rsidRPr="00725C81">
        <w:rPr>
          <w:rFonts w:ascii="Arial" w:hAnsi="Arial" w:cs="Arial"/>
        </w:rPr>
        <w:t>Whether the proposal would preserve or enhance the character of the Central Conservation Area;</w:t>
      </w:r>
    </w:p>
    <w:p w:rsidR="00551A03" w:rsidRPr="00725C81" w:rsidRDefault="00551A03" w:rsidP="00551A03">
      <w:pPr>
        <w:pStyle w:val="ListParagraph"/>
        <w:ind w:left="0"/>
        <w:jc w:val="both"/>
        <w:rPr>
          <w:rFonts w:ascii="Arial" w:hAnsi="Arial" w:cs="Arial"/>
        </w:rPr>
      </w:pPr>
    </w:p>
    <w:p w:rsidR="005F6FCD" w:rsidRPr="00725C81" w:rsidRDefault="005F6FCD" w:rsidP="00551A03">
      <w:pPr>
        <w:pStyle w:val="ListParagraph"/>
        <w:numPr>
          <w:ilvl w:val="0"/>
          <w:numId w:val="15"/>
        </w:numPr>
        <w:ind w:left="0" w:hanging="426"/>
        <w:jc w:val="both"/>
        <w:rPr>
          <w:rFonts w:ascii="Arial" w:hAnsi="Arial" w:cs="Arial"/>
          <w:lang w:eastAsia="en-GB"/>
        </w:rPr>
      </w:pPr>
      <w:r w:rsidRPr="00725C81">
        <w:rPr>
          <w:rFonts w:ascii="Arial" w:hAnsi="Arial" w:cs="Arial"/>
          <w:lang w:eastAsia="en-GB"/>
        </w:rPr>
        <w:t>Principle of Development</w:t>
      </w:r>
    </w:p>
    <w:p w:rsidR="005F6FCD" w:rsidRPr="00725C81" w:rsidRDefault="005F6FCD" w:rsidP="005F6FCD">
      <w:pPr>
        <w:pStyle w:val="ListParagraph"/>
        <w:ind w:left="0"/>
        <w:jc w:val="both"/>
        <w:rPr>
          <w:rFonts w:ascii="Arial" w:hAnsi="Arial" w:cs="Arial"/>
          <w:lang w:eastAsia="en-GB"/>
        </w:rPr>
      </w:pPr>
    </w:p>
    <w:p w:rsidR="007A5E13" w:rsidRPr="00725C81" w:rsidRDefault="007A5E13" w:rsidP="007A5E13">
      <w:pPr>
        <w:jc w:val="both"/>
        <w:rPr>
          <w:rFonts w:ascii="Arial" w:hAnsi="Arial" w:cs="Arial"/>
          <w:lang w:eastAsia="en-GB"/>
        </w:rPr>
      </w:pPr>
      <w:r w:rsidRPr="00725C81">
        <w:rPr>
          <w:rFonts w:ascii="Arial" w:hAnsi="Arial" w:cs="Arial"/>
          <w:lang w:eastAsia="en-GB"/>
        </w:rPr>
        <w:t xml:space="preserve">In terms of national policy, paragraph 63 from the </w:t>
      </w:r>
      <w:r w:rsidRPr="00725C81">
        <w:rPr>
          <w:rFonts w:ascii="Arial" w:hAnsi="Arial" w:cs="Arial"/>
          <w:i/>
          <w:lang w:eastAsia="en-GB"/>
        </w:rPr>
        <w:t>'National Planning Policy Framework'</w:t>
      </w:r>
      <w:r w:rsidR="00F57169" w:rsidRPr="00725C81">
        <w:rPr>
          <w:rFonts w:ascii="Arial" w:hAnsi="Arial" w:cs="Arial"/>
          <w:lang w:eastAsia="en-GB"/>
        </w:rPr>
        <w:t xml:space="preserve"> 2012, in part </w:t>
      </w:r>
      <w:r w:rsidRPr="00725C81">
        <w:rPr>
          <w:rFonts w:ascii="Arial" w:hAnsi="Arial" w:cs="Arial"/>
          <w:lang w:eastAsia="en-GB"/>
        </w:rPr>
        <w:t xml:space="preserve">states: </w:t>
      </w:r>
    </w:p>
    <w:p w:rsidR="007A5E13" w:rsidRPr="00725C81" w:rsidRDefault="007A5E13" w:rsidP="007A5E13">
      <w:pPr>
        <w:pStyle w:val="ListParagraph"/>
        <w:jc w:val="both"/>
        <w:rPr>
          <w:rFonts w:ascii="Arial" w:hAnsi="Arial" w:cs="Arial"/>
          <w:lang w:eastAsia="en-GB"/>
        </w:rPr>
      </w:pPr>
    </w:p>
    <w:p w:rsidR="007A5E13" w:rsidRPr="00725C81" w:rsidRDefault="007A5E13" w:rsidP="00F57169">
      <w:pPr>
        <w:jc w:val="both"/>
        <w:rPr>
          <w:rFonts w:ascii="Arial" w:hAnsi="Arial" w:cs="Arial"/>
          <w:i/>
          <w:lang w:eastAsia="en-GB"/>
        </w:rPr>
      </w:pPr>
      <w:r w:rsidRPr="00725C81">
        <w:rPr>
          <w:rFonts w:ascii="Arial" w:hAnsi="Arial" w:cs="Arial"/>
          <w:i/>
          <w:lang w:eastAsia="en-GB"/>
        </w:rPr>
        <w:t>‘’In determining applications, great weight should be given to outstanding or innovative designs which help raise the standard of design more generally in the area’’.</w:t>
      </w:r>
    </w:p>
    <w:p w:rsidR="007A5E13" w:rsidRPr="00725C81" w:rsidRDefault="007A5E13" w:rsidP="007A5E13">
      <w:pPr>
        <w:pStyle w:val="ListParagraph"/>
        <w:jc w:val="both"/>
        <w:rPr>
          <w:rFonts w:ascii="Arial" w:hAnsi="Arial" w:cs="Arial"/>
          <w:lang w:eastAsia="en-GB"/>
        </w:rPr>
      </w:pPr>
    </w:p>
    <w:p w:rsidR="007A5E13" w:rsidRPr="00725C81" w:rsidRDefault="00F57169" w:rsidP="00F57169">
      <w:pPr>
        <w:jc w:val="both"/>
        <w:rPr>
          <w:rFonts w:ascii="Arial" w:hAnsi="Arial" w:cs="Arial"/>
          <w:lang w:eastAsia="en-GB"/>
        </w:rPr>
      </w:pPr>
      <w:r w:rsidRPr="00725C81">
        <w:rPr>
          <w:rFonts w:ascii="Arial" w:hAnsi="Arial" w:cs="Arial"/>
          <w:lang w:eastAsia="en-GB"/>
        </w:rPr>
        <w:t xml:space="preserve">Paragraph </w:t>
      </w:r>
      <w:r w:rsidR="007A5E13" w:rsidRPr="00725C81">
        <w:rPr>
          <w:rFonts w:ascii="Arial" w:hAnsi="Arial" w:cs="Arial"/>
          <w:lang w:eastAsia="en-GB"/>
        </w:rPr>
        <w:t xml:space="preserve">132 from </w:t>
      </w:r>
      <w:r w:rsidRPr="00725C81">
        <w:rPr>
          <w:rFonts w:ascii="Arial" w:hAnsi="Arial" w:cs="Arial"/>
          <w:lang w:eastAsia="en-GB"/>
        </w:rPr>
        <w:t>the document then goes onto state</w:t>
      </w:r>
      <w:r w:rsidR="007A5E13" w:rsidRPr="00725C81">
        <w:rPr>
          <w:rFonts w:ascii="Arial" w:hAnsi="Arial" w:cs="Arial"/>
          <w:lang w:eastAsia="en-GB"/>
        </w:rPr>
        <w:t xml:space="preserve">: </w:t>
      </w:r>
    </w:p>
    <w:p w:rsidR="007A5E13" w:rsidRPr="00725C81" w:rsidRDefault="007A5E13" w:rsidP="007A5E13">
      <w:pPr>
        <w:pStyle w:val="ListParagraph"/>
        <w:jc w:val="both"/>
        <w:rPr>
          <w:rFonts w:ascii="Arial" w:hAnsi="Arial" w:cs="Arial"/>
          <w:i/>
          <w:lang w:eastAsia="en-GB"/>
        </w:rPr>
      </w:pPr>
    </w:p>
    <w:p w:rsidR="007A5E13" w:rsidRPr="00725C81" w:rsidRDefault="007A5E13" w:rsidP="00F57169">
      <w:pPr>
        <w:jc w:val="both"/>
        <w:rPr>
          <w:rFonts w:ascii="Arial" w:hAnsi="Arial" w:cs="Arial"/>
          <w:i/>
          <w:lang w:eastAsia="en-GB"/>
        </w:rPr>
      </w:pPr>
      <w:r w:rsidRPr="00725C81">
        <w:rPr>
          <w:rFonts w:ascii="Arial" w:hAnsi="Arial" w:cs="Arial"/>
          <w:i/>
          <w:lang w:eastAsia="en-GB"/>
        </w:rPr>
        <w:t>‘’When considering the impact of a proposed development on the significance of a designated heritage asset, great weight should be given to the asset’s conservation. The more important the asset, the greater the weight should be. Significance can be harmed or lost through alteration or destruction of the heritage asset or development within its setting. As heritage assets are irreplaceable, any harm or loss should require clear and convincing justification’’.</w:t>
      </w:r>
    </w:p>
    <w:p w:rsidR="007A5E13" w:rsidRPr="00725C81" w:rsidRDefault="007A5E13" w:rsidP="005F6FCD">
      <w:pPr>
        <w:pStyle w:val="ListParagraph"/>
        <w:ind w:left="0"/>
        <w:jc w:val="both"/>
        <w:rPr>
          <w:rFonts w:ascii="Arial" w:hAnsi="Arial" w:cs="Arial"/>
          <w:lang w:eastAsia="en-GB"/>
        </w:rPr>
      </w:pPr>
    </w:p>
    <w:p w:rsidR="00C02223" w:rsidRPr="00725C81" w:rsidRDefault="00C02223" w:rsidP="00C02223">
      <w:pPr>
        <w:jc w:val="both"/>
        <w:rPr>
          <w:rFonts w:ascii="Arial" w:hAnsi="Arial" w:cs="Arial"/>
          <w:i/>
          <w:lang w:eastAsia="en-GB"/>
        </w:rPr>
      </w:pPr>
      <w:r w:rsidRPr="00725C81">
        <w:rPr>
          <w:rFonts w:ascii="Arial" w:hAnsi="Arial" w:cs="Arial"/>
          <w:lang w:eastAsia="en-GB"/>
        </w:rPr>
        <w:t>In local policy terms, ‘Policy CP</w:t>
      </w:r>
      <w:r w:rsidR="00F57169" w:rsidRPr="00725C81">
        <w:rPr>
          <w:rFonts w:ascii="Arial" w:hAnsi="Arial" w:cs="Arial"/>
          <w:lang w:eastAsia="en-GB"/>
        </w:rPr>
        <w:t xml:space="preserve">1’ on </w:t>
      </w:r>
      <w:r w:rsidRPr="00725C81">
        <w:rPr>
          <w:rFonts w:ascii="Arial" w:hAnsi="Arial" w:cs="Arial"/>
          <w:lang w:eastAsia="en-GB"/>
        </w:rPr>
        <w:t>from ‘</w:t>
      </w:r>
      <w:r w:rsidRPr="00725C81">
        <w:rPr>
          <w:rFonts w:ascii="Arial" w:hAnsi="Arial" w:cs="Arial"/>
          <w:i/>
          <w:lang w:eastAsia="en-GB"/>
        </w:rPr>
        <w:t>Oxford City Council’s Local Plan’</w:t>
      </w:r>
      <w:r w:rsidRPr="00725C81">
        <w:rPr>
          <w:rFonts w:ascii="Arial" w:hAnsi="Arial" w:cs="Arial"/>
          <w:lang w:eastAsia="en-GB"/>
        </w:rPr>
        <w:t xml:space="preserve"> 2005 </w:t>
      </w:r>
      <w:r w:rsidR="00F57169" w:rsidRPr="00725C81">
        <w:rPr>
          <w:rFonts w:ascii="Arial" w:hAnsi="Arial" w:cs="Arial"/>
          <w:lang w:eastAsia="en-GB"/>
        </w:rPr>
        <w:t xml:space="preserve">in part </w:t>
      </w:r>
      <w:r w:rsidRPr="00725C81">
        <w:rPr>
          <w:rFonts w:ascii="Arial" w:hAnsi="Arial" w:cs="Arial"/>
          <w:lang w:eastAsia="en-GB"/>
        </w:rPr>
        <w:t>states</w:t>
      </w:r>
      <w:r w:rsidR="00F57169" w:rsidRPr="00725C81">
        <w:rPr>
          <w:rFonts w:ascii="Arial" w:hAnsi="Arial" w:cs="Arial"/>
          <w:lang w:eastAsia="en-GB"/>
        </w:rPr>
        <w:t xml:space="preserve"> that </w:t>
      </w:r>
      <w:r w:rsidR="000F1527" w:rsidRPr="00725C81">
        <w:rPr>
          <w:rFonts w:ascii="Arial" w:hAnsi="Arial" w:cs="Arial"/>
          <w:lang w:eastAsia="en-GB"/>
        </w:rPr>
        <w:t>P</w:t>
      </w:r>
      <w:r w:rsidRPr="00725C81">
        <w:rPr>
          <w:rFonts w:ascii="Arial" w:hAnsi="Arial" w:cs="Arial"/>
          <w:lang w:eastAsia="en-GB"/>
        </w:rPr>
        <w:t>lanning permission will only be granted for development which:</w:t>
      </w:r>
    </w:p>
    <w:p w:rsidR="00C02223" w:rsidRPr="00725C81" w:rsidRDefault="00C02223" w:rsidP="00C02223">
      <w:pPr>
        <w:jc w:val="both"/>
        <w:rPr>
          <w:rFonts w:ascii="Arial" w:hAnsi="Arial" w:cs="Arial"/>
          <w:i/>
          <w:lang w:eastAsia="en-GB"/>
        </w:rPr>
      </w:pPr>
    </w:p>
    <w:p w:rsidR="00C02223" w:rsidRPr="00725C81" w:rsidRDefault="00C02223" w:rsidP="000F1527">
      <w:pPr>
        <w:pStyle w:val="ListParagraph"/>
        <w:numPr>
          <w:ilvl w:val="0"/>
          <w:numId w:val="30"/>
        </w:numPr>
        <w:ind w:left="426" w:hanging="426"/>
        <w:jc w:val="both"/>
        <w:rPr>
          <w:rFonts w:ascii="Arial" w:hAnsi="Arial" w:cs="Arial"/>
          <w:i/>
          <w:lang w:eastAsia="en-GB"/>
        </w:rPr>
      </w:pPr>
      <w:r w:rsidRPr="00725C81">
        <w:rPr>
          <w:rFonts w:ascii="Arial" w:hAnsi="Arial" w:cs="Arial"/>
          <w:i/>
          <w:lang w:eastAsia="en-GB"/>
        </w:rPr>
        <w:t>shows a high standard of design, including landscape treatment, that respects</w:t>
      </w:r>
      <w:r w:rsidR="000F1527" w:rsidRPr="00725C81">
        <w:rPr>
          <w:rFonts w:ascii="Arial" w:hAnsi="Arial" w:cs="Arial"/>
          <w:i/>
          <w:lang w:eastAsia="en-GB"/>
        </w:rPr>
        <w:t xml:space="preserve"> </w:t>
      </w:r>
      <w:r w:rsidRPr="00725C81">
        <w:rPr>
          <w:rFonts w:ascii="Arial" w:hAnsi="Arial" w:cs="Arial"/>
          <w:i/>
          <w:lang w:eastAsia="en-GB"/>
        </w:rPr>
        <w:t>the character and appearance of the area; and</w:t>
      </w:r>
    </w:p>
    <w:p w:rsidR="000F1527" w:rsidRPr="00725C81" w:rsidRDefault="000F1527" w:rsidP="000F1527">
      <w:pPr>
        <w:ind w:left="426" w:hanging="426"/>
        <w:jc w:val="both"/>
        <w:rPr>
          <w:rFonts w:ascii="Arial" w:hAnsi="Arial" w:cs="Arial"/>
          <w:i/>
          <w:lang w:eastAsia="en-GB"/>
        </w:rPr>
      </w:pPr>
    </w:p>
    <w:p w:rsidR="00C02223" w:rsidRPr="00725C81" w:rsidRDefault="00C02223" w:rsidP="000F1527">
      <w:pPr>
        <w:pStyle w:val="ListParagraph"/>
        <w:numPr>
          <w:ilvl w:val="0"/>
          <w:numId w:val="30"/>
        </w:numPr>
        <w:ind w:left="426" w:hanging="426"/>
        <w:jc w:val="both"/>
        <w:rPr>
          <w:rFonts w:ascii="Arial" w:hAnsi="Arial" w:cs="Arial"/>
          <w:i/>
          <w:lang w:eastAsia="en-GB"/>
        </w:rPr>
      </w:pPr>
      <w:r w:rsidRPr="00725C81">
        <w:rPr>
          <w:rFonts w:ascii="Arial" w:hAnsi="Arial" w:cs="Arial"/>
          <w:i/>
          <w:lang w:eastAsia="en-GB"/>
        </w:rPr>
        <w:t>uses materials of a quality appropriate to the nature of the development, the</w:t>
      </w:r>
      <w:r w:rsidR="000F1527" w:rsidRPr="00725C81">
        <w:rPr>
          <w:rFonts w:ascii="Arial" w:hAnsi="Arial" w:cs="Arial"/>
          <w:i/>
          <w:lang w:eastAsia="en-GB"/>
        </w:rPr>
        <w:t xml:space="preserve"> </w:t>
      </w:r>
      <w:r w:rsidRPr="00725C81">
        <w:rPr>
          <w:rFonts w:ascii="Arial" w:hAnsi="Arial" w:cs="Arial"/>
          <w:i/>
          <w:lang w:eastAsia="en-GB"/>
        </w:rPr>
        <w:t>site and its surroundings; and</w:t>
      </w:r>
    </w:p>
    <w:p w:rsidR="00E64C1E" w:rsidRPr="00725C81" w:rsidRDefault="00E64C1E" w:rsidP="00E64C1E">
      <w:pPr>
        <w:pStyle w:val="ListParagraph"/>
        <w:ind w:left="0"/>
        <w:jc w:val="both"/>
        <w:rPr>
          <w:rFonts w:ascii="Arial" w:hAnsi="Arial" w:cs="Arial"/>
        </w:rPr>
      </w:pPr>
      <w:r w:rsidRPr="00725C81">
        <w:rPr>
          <w:rFonts w:ascii="Arial" w:hAnsi="Arial" w:cs="Arial"/>
        </w:rPr>
        <w:t>Due to its historic and architectural significance, this building also makes a significant contribution to the character and appearance of this Northern part of the Central Conservation Area. As well as the building being within the setting of, and having a visual relationship with, the adjacent grade I listed church, the site is historically linked with the church, as is detailed in the Heritage Statement and therefore all material policy matters need be taken into consideration when formulating a recommendation.</w:t>
      </w:r>
    </w:p>
    <w:p w:rsidR="00E64C1E" w:rsidRPr="00725C81" w:rsidRDefault="00E64C1E" w:rsidP="000F1527">
      <w:pPr>
        <w:ind w:left="426" w:hanging="426"/>
        <w:jc w:val="both"/>
        <w:rPr>
          <w:rFonts w:ascii="Arial" w:hAnsi="Arial" w:cs="Arial"/>
          <w:i/>
          <w:lang w:eastAsia="en-GB"/>
        </w:rPr>
      </w:pPr>
    </w:p>
    <w:p w:rsidR="00455AEA" w:rsidRPr="00725C81" w:rsidRDefault="00E64C1E" w:rsidP="00725C81">
      <w:pPr>
        <w:pStyle w:val="ListParagraph"/>
        <w:numPr>
          <w:ilvl w:val="0"/>
          <w:numId w:val="15"/>
        </w:numPr>
        <w:ind w:left="0" w:hanging="426"/>
        <w:jc w:val="both"/>
        <w:rPr>
          <w:rFonts w:ascii="Arial" w:hAnsi="Arial" w:cs="Arial"/>
          <w:lang w:eastAsia="en-GB"/>
        </w:rPr>
      </w:pPr>
      <w:bookmarkStart w:id="0" w:name="_GoBack"/>
      <w:bookmarkEnd w:id="0"/>
      <w:r w:rsidRPr="00725C81">
        <w:rPr>
          <w:rFonts w:ascii="Arial" w:hAnsi="Arial" w:cs="Arial"/>
          <w:lang w:eastAsia="en-GB"/>
        </w:rPr>
        <w:t>Design/Heritage (Assessment of Harm)</w:t>
      </w:r>
    </w:p>
    <w:p w:rsidR="00E64C1E" w:rsidRPr="00725C81" w:rsidRDefault="00E64C1E" w:rsidP="00E64C1E">
      <w:pPr>
        <w:pStyle w:val="Header"/>
        <w:widowControl w:val="0"/>
        <w:jc w:val="both"/>
        <w:rPr>
          <w:rFonts w:ascii="Arial" w:hAnsi="Arial" w:cs="Arial"/>
        </w:rPr>
      </w:pPr>
    </w:p>
    <w:p w:rsidR="00684CD7" w:rsidRPr="00725C81" w:rsidRDefault="00551A03" w:rsidP="00684CD7">
      <w:pPr>
        <w:pStyle w:val="Default"/>
        <w:jc w:val="both"/>
      </w:pPr>
      <w:r w:rsidRPr="00725C81">
        <w:t>The c</w:t>
      </w:r>
      <w:r w:rsidR="00684CD7" w:rsidRPr="00725C81">
        <w:t xml:space="preserve">anopy installed is a substantial and bulky modern feature, at odds with the characterful historic setting in its form, size, materials, design and appearance.  When closed it is visually prominent to the front elevation, dominating the front courtyard. Due to its height, and width across much of the building, it visually cuts across the first floor windows, when seen from both within the site and from the public realm of the street. It has a harmful impact to the appearance of the building, and the eye is drawn to this modern structure. When the canopy is open, this has an even greater impact on the appearance of the building, further obscuring the front elevation, and reducing the ability to appreciate the historic character and architectural significance of the principle elevation. </w:t>
      </w:r>
    </w:p>
    <w:p w:rsidR="00684CD7" w:rsidRPr="00725C81" w:rsidRDefault="00684CD7" w:rsidP="00684CD7">
      <w:pPr>
        <w:pStyle w:val="Default"/>
        <w:jc w:val="both"/>
      </w:pPr>
    </w:p>
    <w:p w:rsidR="00551A03" w:rsidRPr="00725C81" w:rsidRDefault="00684CD7" w:rsidP="00551A03">
      <w:pPr>
        <w:pStyle w:val="Default"/>
        <w:jc w:val="both"/>
      </w:pPr>
      <w:r w:rsidRPr="00725C81">
        <w:t xml:space="preserve">The lighting </w:t>
      </w:r>
      <w:r w:rsidR="005A17DF" w:rsidRPr="00725C81">
        <w:t xml:space="preserve">strip </w:t>
      </w:r>
      <w:r w:rsidRPr="00725C81">
        <w:t>hanging below the main canopy casing adds further to the visual prominence and scale and bulk of the structure. The 3 supporting posts are substantial, and the top area which accommodates the canopy is large and bulky.</w:t>
      </w:r>
      <w:r w:rsidR="00551A03" w:rsidRPr="00725C81">
        <w:t xml:space="preserve">  Officers consider that the heavy structure is not in keeping with the finer lines and lighter detailing on the building, such as the vertical mullions of the windows, and the horizontal string courses. The finish of the structure gives it a modern appearance, which is not sympathetic to the setting of the Listed Building. The canopy is harmful to the setting of the Listed Building and the character of the Central Conservation Area and should be removed.  </w:t>
      </w:r>
    </w:p>
    <w:p w:rsidR="00551A03" w:rsidRPr="00725C81" w:rsidRDefault="00551A03" w:rsidP="00551A03">
      <w:pPr>
        <w:pStyle w:val="Default"/>
        <w:jc w:val="both"/>
      </w:pPr>
    </w:p>
    <w:p w:rsidR="00E64C1E" w:rsidRPr="00725C81" w:rsidRDefault="00551A03" w:rsidP="00551A03">
      <w:pPr>
        <w:pStyle w:val="Default"/>
        <w:jc w:val="both"/>
      </w:pPr>
      <w:r w:rsidRPr="00725C81">
        <w:t xml:space="preserve">For reasons outlined above, </w:t>
      </w:r>
      <w:r w:rsidR="006E6F2A" w:rsidRPr="00725C81">
        <w:t xml:space="preserve">it is considered that the effect of the free </w:t>
      </w:r>
      <w:r w:rsidR="00684CD7" w:rsidRPr="00725C81">
        <w:t xml:space="preserve">freestanding canopy and frame structure </w:t>
      </w:r>
      <w:r w:rsidR="006E6F2A" w:rsidRPr="00725C81">
        <w:t xml:space="preserve">amounts to </w:t>
      </w:r>
      <w:r w:rsidR="00684CD7" w:rsidRPr="00725C81">
        <w:t>less than substantial harm to the setting of</w:t>
      </w:r>
      <w:r w:rsidR="006E6F2A" w:rsidRPr="00725C81">
        <w:t xml:space="preserve"> the G</w:t>
      </w:r>
      <w:r w:rsidR="00684CD7" w:rsidRPr="00725C81">
        <w:t xml:space="preserve">rade II </w:t>
      </w:r>
      <w:r w:rsidR="006E6F2A" w:rsidRPr="00725C81">
        <w:t xml:space="preserve">Listed Building (Old Parsonage Hotel) and the Grade I Listed Building (St Giles Church)  </w:t>
      </w:r>
      <w:r w:rsidR="00684CD7" w:rsidRPr="00725C81">
        <w:t>and the character and appearance o</w:t>
      </w:r>
      <w:r w:rsidR="006E6F2A" w:rsidRPr="00725C81">
        <w:t>f the Central Conservation Area</w:t>
      </w:r>
      <w:r w:rsidRPr="00725C81">
        <w:t xml:space="preserve">.  </w:t>
      </w:r>
      <w:r w:rsidR="00E64C1E" w:rsidRPr="00725C81">
        <w:t xml:space="preserve">The development proposal would therefore fall contrary to policies ‘CP1, CP8, HE3, HE7’ </w:t>
      </w:r>
      <w:r w:rsidRPr="00725C81">
        <w:t>of</w:t>
      </w:r>
      <w:r w:rsidR="00E64C1E" w:rsidRPr="00725C81">
        <w:t xml:space="preserve"> ‘</w:t>
      </w:r>
      <w:r w:rsidR="00E64C1E" w:rsidRPr="00725C81">
        <w:rPr>
          <w:i/>
        </w:rPr>
        <w:t>Oxford City Council’s Local Plan’</w:t>
      </w:r>
      <w:r w:rsidR="00E64C1E" w:rsidRPr="00725C81">
        <w:t xml:space="preserve"> 2005; and ‘Policy C18’ </w:t>
      </w:r>
      <w:r w:rsidRPr="00725C81">
        <w:t>of</w:t>
      </w:r>
      <w:r w:rsidR="00E64C1E" w:rsidRPr="00725C81">
        <w:t xml:space="preserve"> ‘</w:t>
      </w:r>
      <w:r w:rsidR="00E64C1E" w:rsidRPr="00725C81">
        <w:rPr>
          <w:i/>
        </w:rPr>
        <w:t xml:space="preserve">Oxford City Council’s ‘Core Strategy’ </w:t>
      </w:r>
      <w:r w:rsidR="00E64C1E" w:rsidRPr="00725C81">
        <w:t>2011;</w:t>
      </w:r>
    </w:p>
    <w:p w:rsidR="003604AD" w:rsidRPr="00725C81" w:rsidRDefault="003604AD" w:rsidP="00C11C95">
      <w:pPr>
        <w:pStyle w:val="ListParagraph"/>
        <w:ind w:left="0"/>
        <w:jc w:val="both"/>
        <w:rPr>
          <w:rFonts w:ascii="Arial" w:hAnsi="Arial" w:cs="Arial"/>
        </w:rPr>
      </w:pPr>
    </w:p>
    <w:p w:rsidR="003604AD" w:rsidRPr="00725C81" w:rsidRDefault="003604AD" w:rsidP="00C11C95">
      <w:pPr>
        <w:pStyle w:val="ListParagraph"/>
        <w:ind w:left="0"/>
        <w:jc w:val="both"/>
        <w:rPr>
          <w:rFonts w:ascii="Arial" w:hAnsi="Arial" w:cs="Arial"/>
        </w:rPr>
      </w:pPr>
    </w:p>
    <w:p w:rsidR="00E64C1E" w:rsidRPr="00725C81" w:rsidRDefault="00551A03" w:rsidP="00725C81">
      <w:pPr>
        <w:pStyle w:val="ListParagraph"/>
        <w:numPr>
          <w:ilvl w:val="0"/>
          <w:numId w:val="15"/>
        </w:numPr>
        <w:tabs>
          <w:tab w:val="left" w:pos="5040"/>
        </w:tabs>
        <w:ind w:left="0" w:hanging="567"/>
        <w:jc w:val="both"/>
        <w:rPr>
          <w:rFonts w:ascii="Arial" w:hAnsi="Arial" w:cs="Arial"/>
          <w:lang w:eastAsia="en-GB"/>
        </w:rPr>
      </w:pPr>
      <w:r w:rsidRPr="00725C81">
        <w:rPr>
          <w:rFonts w:ascii="Arial" w:hAnsi="Arial" w:cs="Arial"/>
        </w:rPr>
        <w:t>Mitigation</w:t>
      </w:r>
      <w:r w:rsidR="00E64C1E" w:rsidRPr="00725C81">
        <w:rPr>
          <w:rFonts w:ascii="Arial" w:hAnsi="Arial" w:cs="Arial"/>
        </w:rPr>
        <w:t>/Alternatives</w:t>
      </w:r>
    </w:p>
    <w:p w:rsidR="00E64C1E" w:rsidRPr="00725C81" w:rsidRDefault="00E64C1E" w:rsidP="00E64C1E">
      <w:pPr>
        <w:pStyle w:val="Header"/>
        <w:widowControl w:val="0"/>
        <w:jc w:val="both"/>
        <w:rPr>
          <w:rFonts w:ascii="Arial" w:hAnsi="Arial" w:cs="Arial"/>
        </w:rPr>
      </w:pPr>
    </w:p>
    <w:p w:rsidR="00E64C1E" w:rsidRPr="00725C81" w:rsidRDefault="00E64C1E" w:rsidP="00E64C1E">
      <w:pPr>
        <w:pStyle w:val="Header"/>
        <w:widowControl w:val="0"/>
        <w:jc w:val="both"/>
        <w:rPr>
          <w:rFonts w:ascii="Arial" w:hAnsi="Arial" w:cs="Arial"/>
        </w:rPr>
      </w:pPr>
      <w:r w:rsidRPr="00725C81">
        <w:rPr>
          <w:rFonts w:ascii="Arial" w:hAnsi="Arial" w:cs="Arial"/>
        </w:rPr>
        <w:t xml:space="preserve">There are considered to be alternative solutions which would better relate to the architectural character of the listed building, such as canopy structures of a more refined, elegant design. Introducing several smaller, individual structures of a high quality design would mitigate the harmful impact caused by the massing of the current structure and whilst this may result in more ‘clutter’ to this front seating area, the scale of the structures would better relate to the scale of the existing building. The recently approved bicycle shelter on the site is an example of the high design quality that can be achieved here without detracting from the setting of the listed building, and this same approach of achieving high quality design should be used in the creation of a canopy structure. </w:t>
      </w:r>
    </w:p>
    <w:p w:rsidR="006508D6" w:rsidRPr="00725C81" w:rsidRDefault="006508D6" w:rsidP="00E64C1E">
      <w:pPr>
        <w:pStyle w:val="Header"/>
        <w:widowControl w:val="0"/>
        <w:jc w:val="both"/>
        <w:rPr>
          <w:rFonts w:ascii="Arial" w:hAnsi="Arial" w:cs="Arial"/>
        </w:rPr>
      </w:pPr>
    </w:p>
    <w:p w:rsidR="00E64C1E" w:rsidRPr="00725C81" w:rsidRDefault="00E64C1E" w:rsidP="00E64C1E">
      <w:pPr>
        <w:pStyle w:val="Header"/>
        <w:widowControl w:val="0"/>
        <w:jc w:val="both"/>
        <w:rPr>
          <w:rFonts w:ascii="Arial" w:hAnsi="Arial" w:cs="Arial"/>
        </w:rPr>
      </w:pPr>
      <w:r w:rsidRPr="00725C81">
        <w:rPr>
          <w:rFonts w:ascii="Arial" w:hAnsi="Arial" w:cs="Arial"/>
        </w:rPr>
        <w:t>The agent’s further informal proposal to mount the existing structure onto boxed wheels would be unacceptable and more harmful than the current situation, and therefore, notwithstanding whether planning permission is required, would be a disappointing outcome particularly in light of the high quality design and renovation works that have already been achieved at the site.</w:t>
      </w:r>
      <w:r w:rsidR="00551A03" w:rsidRPr="00725C81">
        <w:rPr>
          <w:rFonts w:ascii="Arial" w:hAnsi="Arial" w:cs="Arial"/>
        </w:rPr>
        <w:t xml:space="preserve">  </w:t>
      </w:r>
      <w:r w:rsidRPr="00725C81">
        <w:rPr>
          <w:rFonts w:ascii="Arial" w:hAnsi="Arial" w:cs="Arial"/>
        </w:rPr>
        <w:t xml:space="preserve">Therefore </w:t>
      </w:r>
      <w:r w:rsidR="006508D6" w:rsidRPr="00725C81">
        <w:rPr>
          <w:rFonts w:ascii="Arial" w:hAnsi="Arial" w:cs="Arial"/>
        </w:rPr>
        <w:t>the officers consider</w:t>
      </w:r>
      <w:r w:rsidRPr="00725C81">
        <w:rPr>
          <w:rFonts w:ascii="Arial" w:hAnsi="Arial" w:cs="Arial"/>
        </w:rPr>
        <w:t xml:space="preserve"> the operational development to be contrary to local policy, but not the use or potential for a cover-solution in principle.</w:t>
      </w:r>
    </w:p>
    <w:p w:rsidR="006508D6" w:rsidRPr="00725C81" w:rsidRDefault="006508D6" w:rsidP="00E64C1E">
      <w:pPr>
        <w:pStyle w:val="Header"/>
        <w:widowControl w:val="0"/>
        <w:jc w:val="both"/>
        <w:rPr>
          <w:rFonts w:ascii="Arial" w:hAnsi="Arial" w:cs="Arial"/>
        </w:rPr>
      </w:pPr>
    </w:p>
    <w:p w:rsidR="00551A03" w:rsidRPr="00725C81" w:rsidRDefault="00551A03" w:rsidP="00E64C1E">
      <w:pPr>
        <w:pStyle w:val="Header"/>
        <w:widowControl w:val="0"/>
        <w:jc w:val="both"/>
        <w:rPr>
          <w:rFonts w:ascii="Arial" w:hAnsi="Arial" w:cs="Arial"/>
        </w:rPr>
      </w:pPr>
    </w:p>
    <w:p w:rsidR="00E64C1E" w:rsidRPr="00725C81" w:rsidRDefault="002A16AB" w:rsidP="00725C81">
      <w:pPr>
        <w:pStyle w:val="ListParagraph"/>
        <w:widowControl w:val="0"/>
        <w:numPr>
          <w:ilvl w:val="0"/>
          <w:numId w:val="15"/>
        </w:numPr>
        <w:tabs>
          <w:tab w:val="left" w:pos="5040"/>
        </w:tabs>
        <w:overflowPunct w:val="0"/>
        <w:autoSpaceDE w:val="0"/>
        <w:autoSpaceDN w:val="0"/>
        <w:adjustRightInd w:val="0"/>
        <w:ind w:left="0" w:hanging="567"/>
        <w:jc w:val="both"/>
        <w:textAlignment w:val="baseline"/>
        <w:rPr>
          <w:rFonts w:ascii="Arial" w:hAnsi="Arial" w:cs="Arial"/>
          <w:u w:val="single"/>
        </w:rPr>
      </w:pPr>
      <w:r w:rsidRPr="00725C81">
        <w:rPr>
          <w:rFonts w:ascii="Arial" w:hAnsi="Arial" w:cs="Arial"/>
          <w:bCs/>
        </w:rPr>
        <w:t>O</w:t>
      </w:r>
      <w:r w:rsidR="000E2B47" w:rsidRPr="00725C81">
        <w:rPr>
          <w:rFonts w:ascii="Arial" w:hAnsi="Arial" w:cs="Arial"/>
          <w:bCs/>
        </w:rPr>
        <w:t>ther Material Considerations</w:t>
      </w:r>
      <w:r w:rsidR="00E64C1E" w:rsidRPr="00725C81">
        <w:rPr>
          <w:rFonts w:ascii="Arial" w:hAnsi="Arial" w:cs="Arial"/>
          <w:bCs/>
        </w:rPr>
        <w:t xml:space="preserve"> (</w:t>
      </w:r>
      <w:r w:rsidR="00E64C1E" w:rsidRPr="00725C81">
        <w:rPr>
          <w:rFonts w:ascii="Arial" w:hAnsi="Arial" w:cs="Arial"/>
        </w:rPr>
        <w:t>Economic/Public Benefit)</w:t>
      </w:r>
    </w:p>
    <w:p w:rsidR="00E64C1E" w:rsidRPr="00725C81" w:rsidRDefault="00E64C1E" w:rsidP="00E64C1E">
      <w:pPr>
        <w:pStyle w:val="Header"/>
        <w:widowControl w:val="0"/>
        <w:jc w:val="both"/>
        <w:rPr>
          <w:rFonts w:ascii="Arial" w:hAnsi="Arial" w:cs="Arial"/>
        </w:rPr>
      </w:pPr>
      <w:r w:rsidRPr="00725C81">
        <w:rPr>
          <w:rFonts w:ascii="Arial" w:hAnsi="Arial" w:cs="Arial"/>
        </w:rPr>
        <w:t xml:space="preserve">The economic benefits that the use of this outdoor seating area brings to the business, and the positive consequence of these benefits to the economic vitality of the area, are acknowledged. However, given that there are other solutions that would still enable the use of this seating area and would mitigate the harm to the setting of the listed building and the character and appearance of the conservation area, the retention of the existing structure is not justified in terms of and Para 132 from the </w:t>
      </w:r>
      <w:r w:rsidRPr="00725C81">
        <w:rPr>
          <w:rFonts w:ascii="Arial" w:hAnsi="Arial" w:cs="Arial"/>
          <w:i/>
        </w:rPr>
        <w:t>'National Planning Policy Framework'</w:t>
      </w:r>
      <w:r w:rsidRPr="00725C81">
        <w:rPr>
          <w:rFonts w:ascii="Arial" w:hAnsi="Arial" w:cs="Arial"/>
        </w:rPr>
        <w:t xml:space="preserve"> 2012, and thus cannot be supported.</w:t>
      </w:r>
    </w:p>
    <w:p w:rsidR="00E64C1E" w:rsidRPr="00725C81" w:rsidRDefault="00E64C1E" w:rsidP="00E64C1E">
      <w:pPr>
        <w:pStyle w:val="Header"/>
        <w:widowControl w:val="0"/>
        <w:jc w:val="both"/>
        <w:rPr>
          <w:rFonts w:ascii="Arial" w:hAnsi="Arial" w:cs="Arial"/>
        </w:rPr>
      </w:pPr>
    </w:p>
    <w:p w:rsidR="00E64C1E" w:rsidRPr="00725C81" w:rsidRDefault="00E64C1E" w:rsidP="00E64C1E">
      <w:pPr>
        <w:pStyle w:val="Header"/>
        <w:widowControl w:val="0"/>
        <w:jc w:val="both"/>
        <w:rPr>
          <w:rFonts w:ascii="Arial" w:hAnsi="Arial" w:cs="Arial"/>
        </w:rPr>
      </w:pPr>
      <w:r w:rsidRPr="00725C81">
        <w:rPr>
          <w:rFonts w:ascii="Arial" w:hAnsi="Arial" w:cs="Arial"/>
        </w:rPr>
        <w:t>The public benefit of the canopy and structure is considered limited. The development is for the commercial betterment of the Old parsonage Hotel and thus the benefit will be predominately for the guests and patrons of the Hotel. The wider public is not likely to benefit or enjoy the premises of this upscale establishment. As such the visual impact and contribution of the proposal to the townscape is considered more significant than the benefit of a few.</w:t>
      </w:r>
    </w:p>
    <w:p w:rsidR="003604AD" w:rsidRPr="00725C81" w:rsidRDefault="003604AD" w:rsidP="00E64C1E">
      <w:pPr>
        <w:pStyle w:val="Header"/>
        <w:widowControl w:val="0"/>
        <w:jc w:val="both"/>
        <w:rPr>
          <w:rFonts w:ascii="Arial" w:hAnsi="Arial" w:cs="Arial"/>
        </w:rPr>
      </w:pPr>
    </w:p>
    <w:p w:rsidR="003604AD" w:rsidRPr="00725C81" w:rsidRDefault="003604AD" w:rsidP="003604AD">
      <w:pPr>
        <w:pStyle w:val="Default"/>
        <w:jc w:val="both"/>
      </w:pPr>
      <w:r w:rsidRPr="00725C81">
        <w:t>Officers consider that there are less harmful alternative options that would still enable the use of the outdoor seating area and therefore maintain the economic activity   that the business currently contributes to the area.  On balance, the development proposal is therefore not justified in terms of the provisions of Para 132 from the NPPF.</w:t>
      </w:r>
    </w:p>
    <w:p w:rsidR="00E64C1E" w:rsidRPr="00725C81" w:rsidRDefault="00E64C1E" w:rsidP="00E64C1E">
      <w:pPr>
        <w:pStyle w:val="Header"/>
        <w:widowControl w:val="0"/>
        <w:jc w:val="both"/>
        <w:rPr>
          <w:rFonts w:ascii="Arial" w:hAnsi="Arial" w:cs="Arial"/>
        </w:rPr>
      </w:pPr>
    </w:p>
    <w:p w:rsidR="00E64C1E" w:rsidRPr="00725C81" w:rsidRDefault="00E64C1E" w:rsidP="00E64C1E">
      <w:pPr>
        <w:pStyle w:val="Header"/>
        <w:widowControl w:val="0"/>
        <w:jc w:val="both"/>
        <w:rPr>
          <w:rFonts w:ascii="Arial" w:hAnsi="Arial" w:cs="Arial"/>
        </w:rPr>
      </w:pPr>
      <w:r w:rsidRPr="00725C81">
        <w:rPr>
          <w:rFonts w:ascii="Arial" w:hAnsi="Arial" w:cs="Arial"/>
        </w:rPr>
        <w:t xml:space="preserve">Guidance from the ‘Historic Environment Good Practice Advice in Planning: 2’, paragraph 26 in part states: </w:t>
      </w:r>
    </w:p>
    <w:p w:rsidR="00E64C1E" w:rsidRPr="00725C81" w:rsidRDefault="00E64C1E" w:rsidP="00E64C1E">
      <w:pPr>
        <w:pStyle w:val="Header"/>
        <w:widowControl w:val="0"/>
        <w:jc w:val="both"/>
        <w:rPr>
          <w:rFonts w:ascii="Arial" w:hAnsi="Arial" w:cs="Arial"/>
        </w:rPr>
      </w:pPr>
    </w:p>
    <w:p w:rsidR="00E64C1E" w:rsidRPr="00725C81" w:rsidRDefault="00E64C1E" w:rsidP="00E64C1E">
      <w:pPr>
        <w:pStyle w:val="Header"/>
        <w:widowControl w:val="0"/>
        <w:jc w:val="both"/>
        <w:rPr>
          <w:rFonts w:ascii="Arial" w:hAnsi="Arial" w:cs="Arial"/>
          <w:i/>
        </w:rPr>
      </w:pPr>
      <w:r w:rsidRPr="00725C81">
        <w:rPr>
          <w:rFonts w:ascii="Arial" w:hAnsi="Arial" w:cs="Arial"/>
          <w:i/>
        </w:rPr>
        <w:t>‘if there is any apparent conflict between the proposed development and the conservation of a heritage asset then the decision-maker might need to consider whether alternative means of delivering the development benefits could achieve a more sustainable result, before proceeding to weigh benefits against any harm.’’</w:t>
      </w:r>
    </w:p>
    <w:p w:rsidR="00E64C1E" w:rsidRPr="00725C81" w:rsidRDefault="00E64C1E" w:rsidP="00E64C1E">
      <w:pPr>
        <w:pStyle w:val="Header"/>
        <w:widowControl w:val="0"/>
        <w:jc w:val="both"/>
        <w:rPr>
          <w:rFonts w:ascii="Arial" w:hAnsi="Arial" w:cs="Arial"/>
        </w:rPr>
      </w:pPr>
    </w:p>
    <w:p w:rsidR="00E64C1E" w:rsidRPr="00725C81" w:rsidRDefault="00E64C1E" w:rsidP="00E64C1E">
      <w:pPr>
        <w:pStyle w:val="Header"/>
        <w:widowControl w:val="0"/>
        <w:jc w:val="both"/>
        <w:rPr>
          <w:rFonts w:ascii="Arial" w:hAnsi="Arial" w:cs="Arial"/>
        </w:rPr>
      </w:pPr>
      <w:r w:rsidRPr="00725C81">
        <w:rPr>
          <w:rFonts w:ascii="Arial" w:hAnsi="Arial" w:cs="Arial"/>
        </w:rPr>
        <w:t>This means any benefits must be weighed against any harm that has been identified first. Officers as well as Historic England have identified substantial harm and thus any benefit must be considered against that harm.</w:t>
      </w:r>
    </w:p>
    <w:p w:rsidR="00E64C1E" w:rsidRPr="00725C81" w:rsidRDefault="00E64C1E" w:rsidP="002A16AB">
      <w:pPr>
        <w:overflowPunct w:val="0"/>
        <w:autoSpaceDE w:val="0"/>
        <w:autoSpaceDN w:val="0"/>
        <w:adjustRightInd w:val="0"/>
        <w:jc w:val="both"/>
        <w:textAlignment w:val="baseline"/>
        <w:rPr>
          <w:rFonts w:ascii="Arial" w:hAnsi="Arial" w:cs="Arial"/>
        </w:rPr>
      </w:pPr>
    </w:p>
    <w:p w:rsidR="000F1527" w:rsidRPr="00725C81" w:rsidRDefault="000F1527" w:rsidP="005F6FCD">
      <w:pPr>
        <w:jc w:val="both"/>
        <w:rPr>
          <w:rFonts w:ascii="Arial" w:hAnsi="Arial" w:cs="Arial"/>
          <w:lang w:eastAsia="en-GB"/>
        </w:rPr>
      </w:pPr>
    </w:p>
    <w:p w:rsidR="005F6FCD" w:rsidRPr="00725C81" w:rsidRDefault="005F6FCD" w:rsidP="005F6FCD">
      <w:pPr>
        <w:pStyle w:val="Heading1"/>
        <w:numPr>
          <w:ilvl w:val="0"/>
          <w:numId w:val="8"/>
        </w:numPr>
        <w:ind w:left="0" w:hanging="567"/>
        <w:rPr>
          <w:rFonts w:ascii="Arial" w:hAnsi="Arial" w:cs="Arial"/>
          <w:sz w:val="24"/>
          <w:lang w:eastAsia="en-GB"/>
        </w:rPr>
      </w:pPr>
      <w:r w:rsidRPr="00725C81">
        <w:rPr>
          <w:rFonts w:ascii="Arial" w:hAnsi="Arial" w:cs="Arial"/>
          <w:sz w:val="24"/>
          <w:lang w:eastAsia="en-GB"/>
        </w:rPr>
        <w:t>Conclusion</w:t>
      </w:r>
    </w:p>
    <w:p w:rsidR="00F57169" w:rsidRPr="00725C81" w:rsidRDefault="00F57169" w:rsidP="00725C81">
      <w:pPr>
        <w:pStyle w:val="ListParagraph"/>
        <w:numPr>
          <w:ilvl w:val="0"/>
          <w:numId w:val="17"/>
        </w:numPr>
        <w:ind w:left="0" w:hanging="426"/>
        <w:jc w:val="both"/>
        <w:rPr>
          <w:rFonts w:ascii="Arial" w:hAnsi="Arial" w:cs="Arial"/>
          <w:lang w:eastAsia="en-GB"/>
        </w:rPr>
      </w:pPr>
      <w:r w:rsidRPr="00725C81">
        <w:rPr>
          <w:rFonts w:ascii="Arial" w:hAnsi="Arial" w:cs="Arial"/>
        </w:rPr>
        <w:t xml:space="preserve">Having regard to the material considerations and all other matters raised, the Local Planning Authority considers </w:t>
      </w:r>
      <w:r w:rsidR="00FB4CFB" w:rsidRPr="00725C81">
        <w:rPr>
          <w:rFonts w:ascii="Arial" w:hAnsi="Arial" w:cs="Arial"/>
          <w:lang w:eastAsia="en-GB"/>
        </w:rPr>
        <w:t>the proposal is inconsistent with the provisions of the development plan</w:t>
      </w:r>
      <w:r w:rsidR="00551A03" w:rsidRPr="00725C81">
        <w:rPr>
          <w:rFonts w:ascii="Arial" w:hAnsi="Arial" w:cs="Arial"/>
          <w:lang w:eastAsia="en-GB"/>
        </w:rPr>
        <w:t xml:space="preserve">, and </w:t>
      </w:r>
      <w:r w:rsidRPr="00725C81">
        <w:rPr>
          <w:rFonts w:ascii="Arial" w:hAnsi="Arial" w:cs="Arial"/>
        </w:rPr>
        <w:t xml:space="preserve">that the </w:t>
      </w:r>
      <w:r w:rsidR="003604AD" w:rsidRPr="00725C81">
        <w:rPr>
          <w:rFonts w:ascii="Arial" w:hAnsi="Arial" w:cs="Arial"/>
        </w:rPr>
        <w:t>balance of considerations therefore weighs</w:t>
      </w:r>
      <w:r w:rsidRPr="00725C81">
        <w:rPr>
          <w:rFonts w:ascii="Arial" w:hAnsi="Arial" w:cs="Arial"/>
        </w:rPr>
        <w:t xml:space="preserve"> against the granting of planning permission.</w:t>
      </w:r>
      <w:r w:rsidR="00551A03" w:rsidRPr="00725C81">
        <w:rPr>
          <w:rFonts w:ascii="Arial" w:hAnsi="Arial" w:cs="Arial"/>
          <w:lang w:eastAsia="en-GB"/>
        </w:rPr>
        <w:t xml:space="preserve"> Officers therefore recommend that members refuse planning permission.</w:t>
      </w:r>
    </w:p>
    <w:p w:rsidR="005F6FCD" w:rsidRPr="00725C81" w:rsidRDefault="005F6FCD" w:rsidP="005F6FCD">
      <w:pPr>
        <w:pStyle w:val="ListParagraph"/>
        <w:ind w:left="0"/>
        <w:jc w:val="both"/>
        <w:rPr>
          <w:rFonts w:ascii="Arial" w:hAnsi="Arial" w:cs="Arial"/>
          <w:lang w:eastAsia="en-GB"/>
        </w:rPr>
      </w:pPr>
    </w:p>
    <w:p w:rsidR="00F02052" w:rsidRPr="00725C81" w:rsidRDefault="00F02052" w:rsidP="005F6FCD">
      <w:pPr>
        <w:pStyle w:val="ListParagraph"/>
        <w:ind w:left="0"/>
        <w:jc w:val="both"/>
        <w:rPr>
          <w:rFonts w:ascii="Arial" w:hAnsi="Arial" w:cs="Arial"/>
          <w:lang w:eastAsia="en-GB"/>
        </w:rPr>
      </w:pPr>
    </w:p>
    <w:p w:rsidR="00230950" w:rsidRPr="00725C81" w:rsidRDefault="00230950" w:rsidP="00230950">
      <w:pPr>
        <w:pStyle w:val="Heading1"/>
        <w:rPr>
          <w:rFonts w:ascii="Arial" w:hAnsi="Arial" w:cs="Arial"/>
          <w:sz w:val="24"/>
        </w:rPr>
      </w:pPr>
      <w:r w:rsidRPr="00725C81">
        <w:rPr>
          <w:rFonts w:ascii="Arial" w:hAnsi="Arial" w:cs="Arial"/>
          <w:sz w:val="24"/>
        </w:rPr>
        <w:t>Recommendation</w:t>
      </w:r>
    </w:p>
    <w:p w:rsidR="00F57169" w:rsidRPr="00725C81" w:rsidRDefault="00F57169" w:rsidP="00F57169">
      <w:pPr>
        <w:jc w:val="both"/>
        <w:rPr>
          <w:rFonts w:ascii="Arial" w:hAnsi="Arial" w:cs="Arial"/>
        </w:rPr>
      </w:pPr>
      <w:r w:rsidRPr="00725C81">
        <w:rPr>
          <w:rFonts w:ascii="Arial" w:hAnsi="Arial" w:cs="Arial"/>
        </w:rPr>
        <w:t xml:space="preserve">Application </w:t>
      </w:r>
      <w:proofErr w:type="gramStart"/>
      <w:r w:rsidRPr="00725C81">
        <w:rPr>
          <w:rFonts w:ascii="Arial" w:hAnsi="Arial" w:cs="Arial"/>
        </w:rPr>
        <w:t>be</w:t>
      </w:r>
      <w:proofErr w:type="gramEnd"/>
      <w:r w:rsidRPr="00725C81">
        <w:rPr>
          <w:rFonts w:ascii="Arial" w:hAnsi="Arial" w:cs="Arial"/>
        </w:rPr>
        <w:t xml:space="preserve"> refused;</w:t>
      </w:r>
    </w:p>
    <w:p w:rsidR="00230950" w:rsidRDefault="00230950" w:rsidP="00230950">
      <w:pPr>
        <w:jc w:val="both"/>
        <w:rPr>
          <w:rFonts w:ascii="Arial" w:hAnsi="Arial" w:cs="Arial"/>
        </w:rPr>
      </w:pPr>
    </w:p>
    <w:p w:rsidR="00FD17C9" w:rsidRPr="00725C81" w:rsidRDefault="00FD17C9" w:rsidP="00230950">
      <w:pPr>
        <w:jc w:val="both"/>
        <w:rPr>
          <w:rFonts w:ascii="Arial" w:hAnsi="Arial" w:cs="Arial"/>
        </w:rPr>
      </w:pPr>
    </w:p>
    <w:p w:rsidR="00FD17C9" w:rsidRDefault="00FD17C9" w:rsidP="00FD17C9">
      <w:pPr>
        <w:jc w:val="both"/>
        <w:rPr>
          <w:rFonts w:ascii="Arial" w:hAnsi="Arial" w:cs="Arial"/>
        </w:rPr>
      </w:pPr>
      <w:r w:rsidRPr="00FD17C9">
        <w:rPr>
          <w:rFonts w:ascii="Arial" w:hAnsi="Arial" w:cs="Arial"/>
        </w:rPr>
        <w:t>Human Rights Act 1998</w:t>
      </w:r>
    </w:p>
    <w:p w:rsidR="00FD17C9" w:rsidRPr="00FD17C9" w:rsidRDefault="00FD17C9" w:rsidP="00FD17C9">
      <w:pPr>
        <w:jc w:val="both"/>
        <w:rPr>
          <w:rFonts w:ascii="Arial" w:hAnsi="Arial" w:cs="Arial"/>
        </w:rPr>
      </w:pPr>
    </w:p>
    <w:p w:rsidR="00FD17C9" w:rsidRPr="00FD17C9" w:rsidRDefault="00FD17C9" w:rsidP="00FD17C9">
      <w:pPr>
        <w:jc w:val="both"/>
        <w:rPr>
          <w:rFonts w:ascii="Arial" w:hAnsi="Arial" w:cs="Arial"/>
        </w:rPr>
      </w:pPr>
      <w:r w:rsidRPr="00FD17C9">
        <w:rPr>
          <w:rFonts w:ascii="Arial" w:hAnsi="Arial" w:cs="Arial"/>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D17C9" w:rsidRPr="00FD17C9" w:rsidRDefault="00FD17C9" w:rsidP="00FD17C9">
      <w:pPr>
        <w:pStyle w:val="ListParagraph"/>
        <w:jc w:val="both"/>
        <w:rPr>
          <w:rFonts w:ascii="Arial" w:hAnsi="Arial" w:cs="Arial"/>
        </w:rPr>
      </w:pPr>
    </w:p>
    <w:p w:rsidR="00FD17C9" w:rsidRPr="00FD17C9" w:rsidRDefault="00FD17C9" w:rsidP="00FD17C9">
      <w:pPr>
        <w:jc w:val="both"/>
        <w:rPr>
          <w:rFonts w:ascii="Arial" w:hAnsi="Arial" w:cs="Arial"/>
        </w:rPr>
      </w:pPr>
      <w:r w:rsidRPr="00FD17C9">
        <w:rPr>
          <w:rFonts w:ascii="Arial" w:hAnsi="Arial" w:cs="Arial"/>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D17C9" w:rsidRDefault="00FD17C9" w:rsidP="00FD17C9">
      <w:pPr>
        <w:pStyle w:val="ListParagraph"/>
        <w:jc w:val="both"/>
        <w:rPr>
          <w:rFonts w:ascii="Arial" w:hAnsi="Arial" w:cs="Arial"/>
        </w:rPr>
      </w:pPr>
    </w:p>
    <w:p w:rsidR="00484638" w:rsidRPr="00FD17C9" w:rsidRDefault="00484638" w:rsidP="00FD17C9">
      <w:pPr>
        <w:pStyle w:val="ListParagraph"/>
        <w:jc w:val="both"/>
        <w:rPr>
          <w:rFonts w:ascii="Arial" w:hAnsi="Arial" w:cs="Arial"/>
        </w:rPr>
      </w:pPr>
    </w:p>
    <w:p w:rsidR="00FD17C9" w:rsidRDefault="00FD17C9" w:rsidP="00FD17C9">
      <w:pPr>
        <w:jc w:val="both"/>
        <w:rPr>
          <w:rFonts w:ascii="Arial" w:hAnsi="Arial" w:cs="Arial"/>
        </w:rPr>
      </w:pPr>
      <w:r w:rsidRPr="00FD17C9">
        <w:rPr>
          <w:rFonts w:ascii="Arial" w:hAnsi="Arial" w:cs="Arial"/>
        </w:rPr>
        <w:t>Section 17 of the Crime and Disorder Act 1998</w:t>
      </w:r>
    </w:p>
    <w:p w:rsidR="00FD17C9" w:rsidRPr="00FD17C9" w:rsidRDefault="00FD17C9" w:rsidP="00FD17C9">
      <w:pPr>
        <w:jc w:val="both"/>
        <w:rPr>
          <w:rFonts w:ascii="Arial" w:hAnsi="Arial" w:cs="Arial"/>
        </w:rPr>
      </w:pPr>
    </w:p>
    <w:p w:rsidR="00A62A30" w:rsidRPr="00FD17C9" w:rsidRDefault="00FD17C9" w:rsidP="00FD17C9">
      <w:pPr>
        <w:jc w:val="both"/>
        <w:rPr>
          <w:rFonts w:ascii="Arial" w:hAnsi="Arial" w:cs="Arial"/>
        </w:rPr>
      </w:pPr>
      <w:r w:rsidRPr="00FD17C9">
        <w:rPr>
          <w:rFonts w:ascii="Arial" w:hAnsi="Arial" w:cs="Arial"/>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FD17C9" w:rsidRDefault="00FD17C9" w:rsidP="00FD17C9">
      <w:pPr>
        <w:pStyle w:val="ListParagraph"/>
        <w:rPr>
          <w:rFonts w:ascii="Arial" w:hAnsi="Arial" w:cs="Arial"/>
        </w:rPr>
      </w:pPr>
    </w:p>
    <w:p w:rsidR="00FD17C9" w:rsidRPr="00725C81" w:rsidRDefault="00FD17C9" w:rsidP="00FD17C9">
      <w:pPr>
        <w:pStyle w:val="ListParagraph"/>
        <w:rPr>
          <w:rFonts w:ascii="Arial" w:hAnsi="Arial" w:cs="Arial"/>
        </w:rPr>
      </w:pPr>
    </w:p>
    <w:p w:rsidR="00F57169" w:rsidRPr="00725C81" w:rsidRDefault="00F57169" w:rsidP="00F57169">
      <w:pPr>
        <w:ind w:right="397"/>
        <w:jc w:val="both"/>
        <w:rPr>
          <w:rFonts w:ascii="Arial" w:hAnsi="Arial" w:cs="Arial"/>
          <w:b/>
          <w:bCs/>
        </w:rPr>
      </w:pPr>
      <w:r w:rsidRPr="00725C81">
        <w:rPr>
          <w:rFonts w:ascii="Arial" w:hAnsi="Arial" w:cs="Arial"/>
          <w:b/>
          <w:bCs/>
        </w:rPr>
        <w:t>Background Papers: 15/01733/FUL</w:t>
      </w:r>
    </w:p>
    <w:p w:rsidR="00F57169" w:rsidRPr="00725C81" w:rsidRDefault="00F57169" w:rsidP="00F57169">
      <w:pPr>
        <w:ind w:right="397"/>
        <w:jc w:val="both"/>
        <w:rPr>
          <w:rFonts w:ascii="Arial" w:hAnsi="Arial" w:cs="Arial"/>
        </w:rPr>
      </w:pPr>
    </w:p>
    <w:p w:rsidR="00F57169" w:rsidRPr="00725C81" w:rsidRDefault="00F57169" w:rsidP="00F57169">
      <w:pPr>
        <w:rPr>
          <w:rFonts w:ascii="Arial" w:hAnsi="Arial" w:cs="Arial"/>
        </w:rPr>
      </w:pPr>
      <w:r w:rsidRPr="00725C81">
        <w:rPr>
          <w:rFonts w:ascii="Arial" w:hAnsi="Arial" w:cs="Arial"/>
          <w:b/>
          <w:bCs/>
        </w:rPr>
        <w:t xml:space="preserve">Contact Officer: </w:t>
      </w:r>
      <w:r w:rsidRPr="00725C81">
        <w:rPr>
          <w:rFonts w:ascii="Arial" w:hAnsi="Arial" w:cs="Arial"/>
        </w:rPr>
        <w:t xml:space="preserve">Tobias </w:t>
      </w:r>
      <w:proofErr w:type="spellStart"/>
      <w:r w:rsidRPr="00725C81">
        <w:rPr>
          <w:rFonts w:ascii="Arial" w:hAnsi="Arial" w:cs="Arial"/>
        </w:rPr>
        <w:t>Fett</w:t>
      </w:r>
      <w:proofErr w:type="spellEnd"/>
    </w:p>
    <w:p w:rsidR="00F57169" w:rsidRPr="00725C81" w:rsidRDefault="00F57169" w:rsidP="00F57169">
      <w:pPr>
        <w:rPr>
          <w:rFonts w:ascii="Arial" w:hAnsi="Arial" w:cs="Arial"/>
        </w:rPr>
      </w:pPr>
      <w:r w:rsidRPr="00725C81">
        <w:rPr>
          <w:rFonts w:ascii="Arial" w:hAnsi="Arial" w:cs="Arial"/>
          <w:b/>
          <w:bCs/>
        </w:rPr>
        <w:t xml:space="preserve">Extension: </w:t>
      </w:r>
      <w:r w:rsidRPr="00725C81">
        <w:rPr>
          <w:rFonts w:ascii="Arial" w:hAnsi="Arial" w:cs="Arial"/>
        </w:rPr>
        <w:t>2241</w:t>
      </w:r>
    </w:p>
    <w:p w:rsidR="00C74A98" w:rsidRPr="00725C81" w:rsidRDefault="00F57169" w:rsidP="00A62A30">
      <w:pPr>
        <w:rPr>
          <w:rFonts w:ascii="Arial" w:hAnsi="Arial" w:cs="Arial"/>
        </w:rPr>
      </w:pPr>
      <w:r w:rsidRPr="00725C81">
        <w:rPr>
          <w:rFonts w:ascii="Arial" w:hAnsi="Arial" w:cs="Arial"/>
          <w:b/>
          <w:bCs/>
        </w:rPr>
        <w:t xml:space="preserve">Date: </w:t>
      </w:r>
      <w:r w:rsidRPr="00725C81">
        <w:rPr>
          <w:rFonts w:ascii="Arial" w:hAnsi="Arial" w:cs="Arial"/>
        </w:rPr>
        <w:t>17</w:t>
      </w:r>
      <w:r w:rsidRPr="00725C81">
        <w:rPr>
          <w:rFonts w:ascii="Arial" w:hAnsi="Arial" w:cs="Arial"/>
          <w:vertAlign w:val="superscript"/>
        </w:rPr>
        <w:t>th</w:t>
      </w:r>
      <w:r w:rsidRPr="00725C81">
        <w:rPr>
          <w:rFonts w:ascii="Arial" w:hAnsi="Arial" w:cs="Arial"/>
        </w:rPr>
        <w:t xml:space="preserve"> December 2015</w:t>
      </w:r>
    </w:p>
    <w:p w:rsidR="00725C81" w:rsidRPr="00725C81" w:rsidRDefault="00725C81">
      <w:pPr>
        <w:rPr>
          <w:rFonts w:ascii="Arial" w:hAnsi="Arial" w:cs="Arial"/>
        </w:rPr>
      </w:pPr>
    </w:p>
    <w:sectPr w:rsidR="00725C81" w:rsidRPr="00725C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BF" w:rsidRDefault="00F554BF" w:rsidP="0001084F">
      <w:r>
        <w:separator/>
      </w:r>
    </w:p>
  </w:endnote>
  <w:endnote w:type="continuationSeparator" w:id="0">
    <w:p w:rsidR="00F554BF" w:rsidRDefault="00F554BF" w:rsidP="0001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BF" w:rsidRDefault="00F554BF" w:rsidP="0001084F">
      <w:r>
        <w:separator/>
      </w:r>
    </w:p>
  </w:footnote>
  <w:footnote w:type="continuationSeparator" w:id="0">
    <w:p w:rsidR="00F554BF" w:rsidRDefault="00F554BF" w:rsidP="0001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411"/>
    <w:multiLevelType w:val="hybridMultilevel"/>
    <w:tmpl w:val="0262B6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411DF"/>
    <w:multiLevelType w:val="hybridMultilevel"/>
    <w:tmpl w:val="B7D4F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C719E"/>
    <w:multiLevelType w:val="hybridMultilevel"/>
    <w:tmpl w:val="10FE6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DE726A"/>
    <w:multiLevelType w:val="hybridMultilevel"/>
    <w:tmpl w:val="18D293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B746B3"/>
    <w:multiLevelType w:val="hybridMultilevel"/>
    <w:tmpl w:val="E63AFE32"/>
    <w:lvl w:ilvl="0" w:tplc="7BA87954">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539D7"/>
    <w:multiLevelType w:val="hybridMultilevel"/>
    <w:tmpl w:val="A462C7E6"/>
    <w:lvl w:ilvl="0" w:tplc="B96027B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1C7A2926"/>
    <w:multiLevelType w:val="hybridMultilevel"/>
    <w:tmpl w:val="9DB0D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711F78"/>
    <w:multiLevelType w:val="hybridMultilevel"/>
    <w:tmpl w:val="BB28A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77EBB"/>
    <w:multiLevelType w:val="hybridMultilevel"/>
    <w:tmpl w:val="59E4F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7C1C08"/>
    <w:multiLevelType w:val="hybridMultilevel"/>
    <w:tmpl w:val="1264CF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F917B0"/>
    <w:multiLevelType w:val="hybridMultilevel"/>
    <w:tmpl w:val="0538B3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16736"/>
    <w:multiLevelType w:val="hybridMultilevel"/>
    <w:tmpl w:val="E63AFE32"/>
    <w:lvl w:ilvl="0" w:tplc="7BA87954">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3219E0"/>
    <w:multiLevelType w:val="hybridMultilevel"/>
    <w:tmpl w:val="C1429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C22BF5"/>
    <w:multiLevelType w:val="hybridMultilevel"/>
    <w:tmpl w:val="1966B174"/>
    <w:lvl w:ilvl="0" w:tplc="7D489E8C">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4833458"/>
    <w:multiLevelType w:val="hybridMultilevel"/>
    <w:tmpl w:val="3AC28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2176A7"/>
    <w:multiLevelType w:val="hybridMultilevel"/>
    <w:tmpl w:val="DE6C651C"/>
    <w:lvl w:ilvl="0" w:tplc="0809000F">
      <w:start w:val="1"/>
      <w:numFmt w:val="decimal"/>
      <w:lvlText w:val="%1."/>
      <w:lvlJc w:val="left"/>
      <w:pPr>
        <w:ind w:left="153" w:hanging="360"/>
      </w:pPr>
    </w:lvl>
    <w:lvl w:ilvl="1" w:tplc="6F300C12">
      <w:start w:val="1"/>
      <w:numFmt w:val="lowerRoman"/>
      <w:lvlText w:val="%2."/>
      <w:lvlJc w:val="right"/>
      <w:pPr>
        <w:ind w:left="873" w:hanging="360"/>
      </w:pPr>
      <w:rPr>
        <w:b w:val="0"/>
        <w:i w:val="0"/>
      </w:r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nsid w:val="3E2134EB"/>
    <w:multiLevelType w:val="hybridMultilevel"/>
    <w:tmpl w:val="D6283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F95FED"/>
    <w:multiLevelType w:val="hybridMultilevel"/>
    <w:tmpl w:val="48AA3712"/>
    <w:lvl w:ilvl="0" w:tplc="7BA87954">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700298"/>
    <w:multiLevelType w:val="hybridMultilevel"/>
    <w:tmpl w:val="678837C2"/>
    <w:lvl w:ilvl="0" w:tplc="CBA069E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52427B"/>
    <w:multiLevelType w:val="hybridMultilevel"/>
    <w:tmpl w:val="054C8F1C"/>
    <w:lvl w:ilvl="0" w:tplc="318AFF9E">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984F44"/>
    <w:multiLevelType w:val="hybridMultilevel"/>
    <w:tmpl w:val="3E1E55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B5367F"/>
    <w:multiLevelType w:val="hybridMultilevel"/>
    <w:tmpl w:val="B6CEA53A"/>
    <w:lvl w:ilvl="0" w:tplc="7AA47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885E5E"/>
    <w:multiLevelType w:val="hybridMultilevel"/>
    <w:tmpl w:val="09FAFFCA"/>
    <w:lvl w:ilvl="0" w:tplc="981ABBE6">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9C4AF8"/>
    <w:multiLevelType w:val="hybridMultilevel"/>
    <w:tmpl w:val="65B68F3C"/>
    <w:lvl w:ilvl="0" w:tplc="6038B2EA">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7129D0"/>
    <w:multiLevelType w:val="hybridMultilevel"/>
    <w:tmpl w:val="DD885C80"/>
    <w:lvl w:ilvl="0" w:tplc="07464718">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801C1"/>
    <w:multiLevelType w:val="hybridMultilevel"/>
    <w:tmpl w:val="45ECF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FD67EB"/>
    <w:multiLevelType w:val="hybridMultilevel"/>
    <w:tmpl w:val="D3C49B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1C2608"/>
    <w:multiLevelType w:val="hybridMultilevel"/>
    <w:tmpl w:val="84A8AC1C"/>
    <w:lvl w:ilvl="0" w:tplc="0809001B">
      <w:start w:val="1"/>
      <w:numFmt w:val="low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8">
    <w:nsid w:val="68B07BE7"/>
    <w:multiLevelType w:val="hybridMultilevel"/>
    <w:tmpl w:val="8CA28386"/>
    <w:lvl w:ilvl="0" w:tplc="0809000F">
      <w:start w:val="1"/>
      <w:numFmt w:val="decimal"/>
      <w:lvlText w:val="%1."/>
      <w:lvlJc w:val="left"/>
      <w:pPr>
        <w:ind w:left="153" w:hanging="360"/>
      </w:pPr>
    </w:lvl>
    <w:lvl w:ilvl="1" w:tplc="0809001B">
      <w:start w:val="1"/>
      <w:numFmt w:val="lowerRoman"/>
      <w:lvlText w:val="%2."/>
      <w:lvlJc w:val="righ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9">
    <w:nsid w:val="7B2B0698"/>
    <w:multiLevelType w:val="hybridMultilevel"/>
    <w:tmpl w:val="35C67190"/>
    <w:lvl w:ilvl="0" w:tplc="3A449A1C">
      <w:start w:val="1"/>
      <w:numFmt w:val="lowerRoman"/>
      <w:lvlText w:val="%1."/>
      <w:lvlJc w:val="righ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1147FF"/>
    <w:multiLevelType w:val="hybridMultilevel"/>
    <w:tmpl w:val="98D4A2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0"/>
  </w:num>
  <w:num w:numId="3">
    <w:abstractNumId w:val="21"/>
  </w:num>
  <w:num w:numId="4">
    <w:abstractNumId w:val="6"/>
  </w:num>
  <w:num w:numId="5">
    <w:abstractNumId w:val="14"/>
  </w:num>
  <w:num w:numId="6">
    <w:abstractNumId w:val="7"/>
  </w:num>
  <w:num w:numId="7">
    <w:abstractNumId w:val="2"/>
  </w:num>
  <w:num w:numId="8">
    <w:abstractNumId w:val="15"/>
  </w:num>
  <w:num w:numId="9">
    <w:abstractNumId w:val="29"/>
  </w:num>
  <w:num w:numId="10">
    <w:abstractNumId w:val="13"/>
  </w:num>
  <w:num w:numId="11">
    <w:abstractNumId w:val="23"/>
  </w:num>
  <w:num w:numId="12">
    <w:abstractNumId w:val="9"/>
  </w:num>
  <w:num w:numId="13">
    <w:abstractNumId w:val="22"/>
  </w:num>
  <w:num w:numId="14">
    <w:abstractNumId w:val="11"/>
  </w:num>
  <w:num w:numId="15">
    <w:abstractNumId w:val="17"/>
  </w:num>
  <w:num w:numId="16">
    <w:abstractNumId w:val="4"/>
  </w:num>
  <w:num w:numId="17">
    <w:abstractNumId w:val="24"/>
  </w:num>
  <w:num w:numId="18">
    <w:abstractNumId w:val="8"/>
  </w:num>
  <w:num w:numId="19">
    <w:abstractNumId w:val="28"/>
  </w:num>
  <w:num w:numId="20">
    <w:abstractNumId w:val="19"/>
  </w:num>
  <w:num w:numId="21">
    <w:abstractNumId w:val="5"/>
  </w:num>
  <w:num w:numId="22">
    <w:abstractNumId w:val="27"/>
  </w:num>
  <w:num w:numId="23">
    <w:abstractNumId w:val="18"/>
  </w:num>
  <w:num w:numId="24">
    <w:abstractNumId w:val="26"/>
  </w:num>
  <w:num w:numId="25">
    <w:abstractNumId w:val="20"/>
  </w:num>
  <w:num w:numId="26">
    <w:abstractNumId w:val="12"/>
  </w:num>
  <w:num w:numId="27">
    <w:abstractNumId w:val="10"/>
  </w:num>
  <w:num w:numId="28">
    <w:abstractNumId w:val="1"/>
  </w:num>
  <w:num w:numId="29">
    <w:abstractNumId w:val="25"/>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5"/>
    <w:rsid w:val="000065DB"/>
    <w:rsid w:val="0001084F"/>
    <w:rsid w:val="000133EB"/>
    <w:rsid w:val="00013D24"/>
    <w:rsid w:val="0002265D"/>
    <w:rsid w:val="00033BA8"/>
    <w:rsid w:val="00051422"/>
    <w:rsid w:val="0005336B"/>
    <w:rsid w:val="00056077"/>
    <w:rsid w:val="00057E4A"/>
    <w:rsid w:val="000659E7"/>
    <w:rsid w:val="00071CF1"/>
    <w:rsid w:val="00073E1F"/>
    <w:rsid w:val="0007587F"/>
    <w:rsid w:val="00084054"/>
    <w:rsid w:val="00086660"/>
    <w:rsid w:val="00091745"/>
    <w:rsid w:val="00093A3C"/>
    <w:rsid w:val="00095D89"/>
    <w:rsid w:val="00096B36"/>
    <w:rsid w:val="000A4205"/>
    <w:rsid w:val="000B5641"/>
    <w:rsid w:val="000C0859"/>
    <w:rsid w:val="000C1656"/>
    <w:rsid w:val="000C25F9"/>
    <w:rsid w:val="000C4795"/>
    <w:rsid w:val="000C5F41"/>
    <w:rsid w:val="000D0407"/>
    <w:rsid w:val="000E2B47"/>
    <w:rsid w:val="000E3013"/>
    <w:rsid w:val="000E46AA"/>
    <w:rsid w:val="000F1527"/>
    <w:rsid w:val="000F22AE"/>
    <w:rsid w:val="000F6DB1"/>
    <w:rsid w:val="000F6E57"/>
    <w:rsid w:val="0010189E"/>
    <w:rsid w:val="00102DFC"/>
    <w:rsid w:val="0010650B"/>
    <w:rsid w:val="00137EAD"/>
    <w:rsid w:val="001417F5"/>
    <w:rsid w:val="001441B0"/>
    <w:rsid w:val="00144E8C"/>
    <w:rsid w:val="00155A81"/>
    <w:rsid w:val="00156787"/>
    <w:rsid w:val="00174867"/>
    <w:rsid w:val="00177969"/>
    <w:rsid w:val="00183F9A"/>
    <w:rsid w:val="0018725F"/>
    <w:rsid w:val="00190C7C"/>
    <w:rsid w:val="00192716"/>
    <w:rsid w:val="0019742F"/>
    <w:rsid w:val="001A1958"/>
    <w:rsid w:val="001A4D28"/>
    <w:rsid w:val="001B03B4"/>
    <w:rsid w:val="001B08C6"/>
    <w:rsid w:val="001B25F3"/>
    <w:rsid w:val="001B415C"/>
    <w:rsid w:val="001B4A44"/>
    <w:rsid w:val="001B4E3D"/>
    <w:rsid w:val="001B53D5"/>
    <w:rsid w:val="001C2686"/>
    <w:rsid w:val="001C580C"/>
    <w:rsid w:val="001D3581"/>
    <w:rsid w:val="001D522E"/>
    <w:rsid w:val="001E3978"/>
    <w:rsid w:val="001E4AEB"/>
    <w:rsid w:val="001F1108"/>
    <w:rsid w:val="001F1295"/>
    <w:rsid w:val="0020079A"/>
    <w:rsid w:val="002059C6"/>
    <w:rsid w:val="00205FF5"/>
    <w:rsid w:val="00212BB2"/>
    <w:rsid w:val="00230950"/>
    <w:rsid w:val="00232F6D"/>
    <w:rsid w:val="00245B5E"/>
    <w:rsid w:val="00246180"/>
    <w:rsid w:val="00274988"/>
    <w:rsid w:val="00274FDD"/>
    <w:rsid w:val="00276E13"/>
    <w:rsid w:val="00281D68"/>
    <w:rsid w:val="00283A6B"/>
    <w:rsid w:val="002850CA"/>
    <w:rsid w:val="00295129"/>
    <w:rsid w:val="002A16AB"/>
    <w:rsid w:val="002A3691"/>
    <w:rsid w:val="002B1085"/>
    <w:rsid w:val="002C0981"/>
    <w:rsid w:val="002C7264"/>
    <w:rsid w:val="002D0E10"/>
    <w:rsid w:val="003006B7"/>
    <w:rsid w:val="00300911"/>
    <w:rsid w:val="00301137"/>
    <w:rsid w:val="0030470C"/>
    <w:rsid w:val="00311852"/>
    <w:rsid w:val="00314329"/>
    <w:rsid w:val="003204DE"/>
    <w:rsid w:val="00324583"/>
    <w:rsid w:val="00335FEE"/>
    <w:rsid w:val="00340C03"/>
    <w:rsid w:val="00352560"/>
    <w:rsid w:val="00354667"/>
    <w:rsid w:val="00355EBC"/>
    <w:rsid w:val="003604AD"/>
    <w:rsid w:val="00361FB5"/>
    <w:rsid w:val="00362C85"/>
    <w:rsid w:val="00364D2A"/>
    <w:rsid w:val="00371931"/>
    <w:rsid w:val="0037268D"/>
    <w:rsid w:val="00376010"/>
    <w:rsid w:val="00376345"/>
    <w:rsid w:val="0038211A"/>
    <w:rsid w:val="003948F6"/>
    <w:rsid w:val="003A0C84"/>
    <w:rsid w:val="003B5070"/>
    <w:rsid w:val="003C0BB9"/>
    <w:rsid w:val="003C1D5D"/>
    <w:rsid w:val="003C3225"/>
    <w:rsid w:val="003C502C"/>
    <w:rsid w:val="003C65DD"/>
    <w:rsid w:val="00414957"/>
    <w:rsid w:val="0041646C"/>
    <w:rsid w:val="00426432"/>
    <w:rsid w:val="00433834"/>
    <w:rsid w:val="00436369"/>
    <w:rsid w:val="0044201C"/>
    <w:rsid w:val="00443627"/>
    <w:rsid w:val="00444ADF"/>
    <w:rsid w:val="004454CC"/>
    <w:rsid w:val="00452641"/>
    <w:rsid w:val="00452941"/>
    <w:rsid w:val="00455AEA"/>
    <w:rsid w:val="0047789D"/>
    <w:rsid w:val="00480279"/>
    <w:rsid w:val="00484638"/>
    <w:rsid w:val="00497513"/>
    <w:rsid w:val="004A02C4"/>
    <w:rsid w:val="004A4A9D"/>
    <w:rsid w:val="004A5DC1"/>
    <w:rsid w:val="004B0377"/>
    <w:rsid w:val="004B0688"/>
    <w:rsid w:val="004B5454"/>
    <w:rsid w:val="004B666F"/>
    <w:rsid w:val="004B7163"/>
    <w:rsid w:val="004C194B"/>
    <w:rsid w:val="004C25E2"/>
    <w:rsid w:val="004C6E2D"/>
    <w:rsid w:val="004C7F29"/>
    <w:rsid w:val="004D1052"/>
    <w:rsid w:val="004D197B"/>
    <w:rsid w:val="004D4553"/>
    <w:rsid w:val="004D47B3"/>
    <w:rsid w:val="004D5511"/>
    <w:rsid w:val="004F46A2"/>
    <w:rsid w:val="004F47E2"/>
    <w:rsid w:val="004F6716"/>
    <w:rsid w:val="00510E33"/>
    <w:rsid w:val="00516D0B"/>
    <w:rsid w:val="005215DC"/>
    <w:rsid w:val="005231CB"/>
    <w:rsid w:val="00524E33"/>
    <w:rsid w:val="0052712D"/>
    <w:rsid w:val="005306B0"/>
    <w:rsid w:val="0053245F"/>
    <w:rsid w:val="0053326D"/>
    <w:rsid w:val="005336D7"/>
    <w:rsid w:val="00533B58"/>
    <w:rsid w:val="00540120"/>
    <w:rsid w:val="00540E94"/>
    <w:rsid w:val="00541BFF"/>
    <w:rsid w:val="00543392"/>
    <w:rsid w:val="005437EC"/>
    <w:rsid w:val="0054558C"/>
    <w:rsid w:val="00551A03"/>
    <w:rsid w:val="00551AE7"/>
    <w:rsid w:val="00551BEB"/>
    <w:rsid w:val="00554090"/>
    <w:rsid w:val="00563AD8"/>
    <w:rsid w:val="0057693A"/>
    <w:rsid w:val="005841DD"/>
    <w:rsid w:val="005841F3"/>
    <w:rsid w:val="005863F7"/>
    <w:rsid w:val="00587B3C"/>
    <w:rsid w:val="005931E5"/>
    <w:rsid w:val="00593E46"/>
    <w:rsid w:val="005A17DF"/>
    <w:rsid w:val="005A77EE"/>
    <w:rsid w:val="005B39B0"/>
    <w:rsid w:val="005C01B2"/>
    <w:rsid w:val="005C2A92"/>
    <w:rsid w:val="005C40BB"/>
    <w:rsid w:val="005C7226"/>
    <w:rsid w:val="005D557A"/>
    <w:rsid w:val="005D5B62"/>
    <w:rsid w:val="005E36A7"/>
    <w:rsid w:val="005E474B"/>
    <w:rsid w:val="005F4DDF"/>
    <w:rsid w:val="005F6FCD"/>
    <w:rsid w:val="006065AC"/>
    <w:rsid w:val="006065DD"/>
    <w:rsid w:val="00607BF7"/>
    <w:rsid w:val="00612632"/>
    <w:rsid w:val="00613E90"/>
    <w:rsid w:val="00614627"/>
    <w:rsid w:val="006146D9"/>
    <w:rsid w:val="00632188"/>
    <w:rsid w:val="00634951"/>
    <w:rsid w:val="0065055E"/>
    <w:rsid w:val="006508D6"/>
    <w:rsid w:val="006510D5"/>
    <w:rsid w:val="00655121"/>
    <w:rsid w:val="0065539F"/>
    <w:rsid w:val="00661F6B"/>
    <w:rsid w:val="00662902"/>
    <w:rsid w:val="00665851"/>
    <w:rsid w:val="00665D34"/>
    <w:rsid w:val="00674644"/>
    <w:rsid w:val="00676A19"/>
    <w:rsid w:val="00677DD7"/>
    <w:rsid w:val="00684CD7"/>
    <w:rsid w:val="00691EF6"/>
    <w:rsid w:val="00694590"/>
    <w:rsid w:val="006A0E68"/>
    <w:rsid w:val="006A17FA"/>
    <w:rsid w:val="006A2E24"/>
    <w:rsid w:val="006B781D"/>
    <w:rsid w:val="006C00FF"/>
    <w:rsid w:val="006C24EE"/>
    <w:rsid w:val="006C2B90"/>
    <w:rsid w:val="006C5DD6"/>
    <w:rsid w:val="006D43A7"/>
    <w:rsid w:val="006E364D"/>
    <w:rsid w:val="006E6F2A"/>
    <w:rsid w:val="00700218"/>
    <w:rsid w:val="007173AA"/>
    <w:rsid w:val="00721E10"/>
    <w:rsid w:val="00722D51"/>
    <w:rsid w:val="007236D9"/>
    <w:rsid w:val="00725C81"/>
    <w:rsid w:val="00727FF4"/>
    <w:rsid w:val="007332BF"/>
    <w:rsid w:val="00735EC9"/>
    <w:rsid w:val="00737B89"/>
    <w:rsid w:val="00740E19"/>
    <w:rsid w:val="00751C28"/>
    <w:rsid w:val="00752CF8"/>
    <w:rsid w:val="0075323F"/>
    <w:rsid w:val="0075334C"/>
    <w:rsid w:val="00753898"/>
    <w:rsid w:val="00762F85"/>
    <w:rsid w:val="007658A2"/>
    <w:rsid w:val="007669E8"/>
    <w:rsid w:val="00775980"/>
    <w:rsid w:val="00775E87"/>
    <w:rsid w:val="00777C56"/>
    <w:rsid w:val="00777FFB"/>
    <w:rsid w:val="0078309C"/>
    <w:rsid w:val="007915A8"/>
    <w:rsid w:val="007A132F"/>
    <w:rsid w:val="007A5A8D"/>
    <w:rsid w:val="007A5E13"/>
    <w:rsid w:val="007B5BAF"/>
    <w:rsid w:val="007B6F50"/>
    <w:rsid w:val="007C67AA"/>
    <w:rsid w:val="007C7BDA"/>
    <w:rsid w:val="007D3FCB"/>
    <w:rsid w:val="007D4108"/>
    <w:rsid w:val="007D4770"/>
    <w:rsid w:val="007E42A9"/>
    <w:rsid w:val="007F4CEB"/>
    <w:rsid w:val="008005D4"/>
    <w:rsid w:val="008057F4"/>
    <w:rsid w:val="00806C49"/>
    <w:rsid w:val="00811491"/>
    <w:rsid w:val="00811C66"/>
    <w:rsid w:val="008128F8"/>
    <w:rsid w:val="0081569B"/>
    <w:rsid w:val="00824760"/>
    <w:rsid w:val="008248E4"/>
    <w:rsid w:val="00831135"/>
    <w:rsid w:val="00837791"/>
    <w:rsid w:val="0084005C"/>
    <w:rsid w:val="00841DF1"/>
    <w:rsid w:val="00844027"/>
    <w:rsid w:val="00845AF9"/>
    <w:rsid w:val="00846A1E"/>
    <w:rsid w:val="00847D28"/>
    <w:rsid w:val="00854F1F"/>
    <w:rsid w:val="00860BC2"/>
    <w:rsid w:val="00860D32"/>
    <w:rsid w:val="00866010"/>
    <w:rsid w:val="008763BC"/>
    <w:rsid w:val="008769D5"/>
    <w:rsid w:val="00881D3E"/>
    <w:rsid w:val="00885CCE"/>
    <w:rsid w:val="008A397B"/>
    <w:rsid w:val="008A783F"/>
    <w:rsid w:val="008C21C1"/>
    <w:rsid w:val="008E25D5"/>
    <w:rsid w:val="008E6E5C"/>
    <w:rsid w:val="008E7733"/>
    <w:rsid w:val="008F703C"/>
    <w:rsid w:val="00903DA6"/>
    <w:rsid w:val="00906BF2"/>
    <w:rsid w:val="00907A98"/>
    <w:rsid w:val="00907C2F"/>
    <w:rsid w:val="00916397"/>
    <w:rsid w:val="009232D7"/>
    <w:rsid w:val="00923F4F"/>
    <w:rsid w:val="009268D5"/>
    <w:rsid w:val="00933F73"/>
    <w:rsid w:val="00935877"/>
    <w:rsid w:val="0094589B"/>
    <w:rsid w:val="009557CC"/>
    <w:rsid w:val="009624F3"/>
    <w:rsid w:val="00964AE2"/>
    <w:rsid w:val="00967B82"/>
    <w:rsid w:val="009761F0"/>
    <w:rsid w:val="00977AF4"/>
    <w:rsid w:val="00980D25"/>
    <w:rsid w:val="00980E93"/>
    <w:rsid w:val="00981224"/>
    <w:rsid w:val="00982549"/>
    <w:rsid w:val="00982889"/>
    <w:rsid w:val="009839D6"/>
    <w:rsid w:val="00984D4B"/>
    <w:rsid w:val="009939FE"/>
    <w:rsid w:val="0099613E"/>
    <w:rsid w:val="009A765C"/>
    <w:rsid w:val="009A78FB"/>
    <w:rsid w:val="009B7DE1"/>
    <w:rsid w:val="009C114A"/>
    <w:rsid w:val="009C2FDE"/>
    <w:rsid w:val="009C4610"/>
    <w:rsid w:val="009D49DC"/>
    <w:rsid w:val="009E21EB"/>
    <w:rsid w:val="009E2678"/>
    <w:rsid w:val="009E3B98"/>
    <w:rsid w:val="009E682C"/>
    <w:rsid w:val="009F0E1E"/>
    <w:rsid w:val="009F165E"/>
    <w:rsid w:val="009F5D0E"/>
    <w:rsid w:val="00A20D28"/>
    <w:rsid w:val="00A22AA2"/>
    <w:rsid w:val="00A24324"/>
    <w:rsid w:val="00A26A22"/>
    <w:rsid w:val="00A27702"/>
    <w:rsid w:val="00A402D2"/>
    <w:rsid w:val="00A404F4"/>
    <w:rsid w:val="00A40F8F"/>
    <w:rsid w:val="00A45D2F"/>
    <w:rsid w:val="00A47F7C"/>
    <w:rsid w:val="00A557D3"/>
    <w:rsid w:val="00A562C7"/>
    <w:rsid w:val="00A56F4B"/>
    <w:rsid w:val="00A62A30"/>
    <w:rsid w:val="00A63824"/>
    <w:rsid w:val="00A64E5F"/>
    <w:rsid w:val="00A71E9B"/>
    <w:rsid w:val="00A72619"/>
    <w:rsid w:val="00A74126"/>
    <w:rsid w:val="00A76AFA"/>
    <w:rsid w:val="00A85F49"/>
    <w:rsid w:val="00A8771F"/>
    <w:rsid w:val="00A97D60"/>
    <w:rsid w:val="00AA0A9E"/>
    <w:rsid w:val="00AA447C"/>
    <w:rsid w:val="00AA5749"/>
    <w:rsid w:val="00AB58DE"/>
    <w:rsid w:val="00AC474C"/>
    <w:rsid w:val="00AC72DE"/>
    <w:rsid w:val="00AC7405"/>
    <w:rsid w:val="00AE0DDB"/>
    <w:rsid w:val="00AE4EB5"/>
    <w:rsid w:val="00AF133F"/>
    <w:rsid w:val="00AF411E"/>
    <w:rsid w:val="00B00C00"/>
    <w:rsid w:val="00B029FF"/>
    <w:rsid w:val="00B0326D"/>
    <w:rsid w:val="00B066C4"/>
    <w:rsid w:val="00B118DF"/>
    <w:rsid w:val="00B11B18"/>
    <w:rsid w:val="00B16D33"/>
    <w:rsid w:val="00B17152"/>
    <w:rsid w:val="00B22A0E"/>
    <w:rsid w:val="00B24B55"/>
    <w:rsid w:val="00B253FB"/>
    <w:rsid w:val="00B271AC"/>
    <w:rsid w:val="00B3176F"/>
    <w:rsid w:val="00B54035"/>
    <w:rsid w:val="00B61C86"/>
    <w:rsid w:val="00B71348"/>
    <w:rsid w:val="00B717FB"/>
    <w:rsid w:val="00B73396"/>
    <w:rsid w:val="00B73B8B"/>
    <w:rsid w:val="00B83FB3"/>
    <w:rsid w:val="00B865CA"/>
    <w:rsid w:val="00B90A06"/>
    <w:rsid w:val="00BA616D"/>
    <w:rsid w:val="00BA64FE"/>
    <w:rsid w:val="00BB2DC9"/>
    <w:rsid w:val="00BB5F9C"/>
    <w:rsid w:val="00BC39B5"/>
    <w:rsid w:val="00BC54FB"/>
    <w:rsid w:val="00BD4D41"/>
    <w:rsid w:val="00BD6026"/>
    <w:rsid w:val="00BD68A7"/>
    <w:rsid w:val="00BE601B"/>
    <w:rsid w:val="00BF0081"/>
    <w:rsid w:val="00BF3969"/>
    <w:rsid w:val="00BF7901"/>
    <w:rsid w:val="00C00356"/>
    <w:rsid w:val="00C02223"/>
    <w:rsid w:val="00C02695"/>
    <w:rsid w:val="00C11C95"/>
    <w:rsid w:val="00C13C67"/>
    <w:rsid w:val="00C14ECE"/>
    <w:rsid w:val="00C174E5"/>
    <w:rsid w:val="00C302BB"/>
    <w:rsid w:val="00C31953"/>
    <w:rsid w:val="00C34B18"/>
    <w:rsid w:val="00C366D4"/>
    <w:rsid w:val="00C45EDE"/>
    <w:rsid w:val="00C46132"/>
    <w:rsid w:val="00C51CC9"/>
    <w:rsid w:val="00C54855"/>
    <w:rsid w:val="00C57D07"/>
    <w:rsid w:val="00C612EC"/>
    <w:rsid w:val="00C61346"/>
    <w:rsid w:val="00C66C06"/>
    <w:rsid w:val="00C74A98"/>
    <w:rsid w:val="00C7646A"/>
    <w:rsid w:val="00C76C49"/>
    <w:rsid w:val="00C800F4"/>
    <w:rsid w:val="00C81B0D"/>
    <w:rsid w:val="00C97201"/>
    <w:rsid w:val="00CA291F"/>
    <w:rsid w:val="00CA417E"/>
    <w:rsid w:val="00CA5286"/>
    <w:rsid w:val="00CB0AC1"/>
    <w:rsid w:val="00CB6130"/>
    <w:rsid w:val="00CB7D46"/>
    <w:rsid w:val="00CC0009"/>
    <w:rsid w:val="00CC1B51"/>
    <w:rsid w:val="00CC487F"/>
    <w:rsid w:val="00CD024E"/>
    <w:rsid w:val="00CE34FF"/>
    <w:rsid w:val="00D00BE5"/>
    <w:rsid w:val="00D11FA4"/>
    <w:rsid w:val="00D120F9"/>
    <w:rsid w:val="00D12A76"/>
    <w:rsid w:val="00D277FE"/>
    <w:rsid w:val="00D33B5E"/>
    <w:rsid w:val="00D36FCC"/>
    <w:rsid w:val="00D43184"/>
    <w:rsid w:val="00D6513E"/>
    <w:rsid w:val="00D677BF"/>
    <w:rsid w:val="00D76EB1"/>
    <w:rsid w:val="00D77539"/>
    <w:rsid w:val="00D80B3E"/>
    <w:rsid w:val="00D81A02"/>
    <w:rsid w:val="00D836A6"/>
    <w:rsid w:val="00D8400D"/>
    <w:rsid w:val="00D84226"/>
    <w:rsid w:val="00D845F1"/>
    <w:rsid w:val="00D84E8A"/>
    <w:rsid w:val="00DA486B"/>
    <w:rsid w:val="00DB3041"/>
    <w:rsid w:val="00DB32D4"/>
    <w:rsid w:val="00DB60DA"/>
    <w:rsid w:val="00DC51AE"/>
    <w:rsid w:val="00DD11AB"/>
    <w:rsid w:val="00DD53FA"/>
    <w:rsid w:val="00DD7952"/>
    <w:rsid w:val="00DE1187"/>
    <w:rsid w:val="00E04B3F"/>
    <w:rsid w:val="00E06338"/>
    <w:rsid w:val="00E11354"/>
    <w:rsid w:val="00E3526E"/>
    <w:rsid w:val="00E400DD"/>
    <w:rsid w:val="00E40863"/>
    <w:rsid w:val="00E45369"/>
    <w:rsid w:val="00E4603C"/>
    <w:rsid w:val="00E46E5C"/>
    <w:rsid w:val="00E475A5"/>
    <w:rsid w:val="00E57922"/>
    <w:rsid w:val="00E63EBA"/>
    <w:rsid w:val="00E64C1E"/>
    <w:rsid w:val="00E774E1"/>
    <w:rsid w:val="00E8115C"/>
    <w:rsid w:val="00E83740"/>
    <w:rsid w:val="00E856C5"/>
    <w:rsid w:val="00E94D24"/>
    <w:rsid w:val="00EA0C77"/>
    <w:rsid w:val="00EA4600"/>
    <w:rsid w:val="00EA7DF7"/>
    <w:rsid w:val="00EB074F"/>
    <w:rsid w:val="00EB4948"/>
    <w:rsid w:val="00EB76AA"/>
    <w:rsid w:val="00EB7FD2"/>
    <w:rsid w:val="00EC0D30"/>
    <w:rsid w:val="00EC153B"/>
    <w:rsid w:val="00EC5241"/>
    <w:rsid w:val="00ED477D"/>
    <w:rsid w:val="00ED7D5D"/>
    <w:rsid w:val="00EE25A7"/>
    <w:rsid w:val="00EE3397"/>
    <w:rsid w:val="00EE3A36"/>
    <w:rsid w:val="00EE4248"/>
    <w:rsid w:val="00EE7511"/>
    <w:rsid w:val="00EE7B1F"/>
    <w:rsid w:val="00EF0935"/>
    <w:rsid w:val="00EF22C3"/>
    <w:rsid w:val="00F02052"/>
    <w:rsid w:val="00F039C7"/>
    <w:rsid w:val="00F04CCB"/>
    <w:rsid w:val="00F04D30"/>
    <w:rsid w:val="00F0712F"/>
    <w:rsid w:val="00F102FF"/>
    <w:rsid w:val="00F115AD"/>
    <w:rsid w:val="00F1706B"/>
    <w:rsid w:val="00F209CB"/>
    <w:rsid w:val="00F2545E"/>
    <w:rsid w:val="00F2659E"/>
    <w:rsid w:val="00F27DF9"/>
    <w:rsid w:val="00F30134"/>
    <w:rsid w:val="00F41988"/>
    <w:rsid w:val="00F44A71"/>
    <w:rsid w:val="00F456DE"/>
    <w:rsid w:val="00F50529"/>
    <w:rsid w:val="00F5136B"/>
    <w:rsid w:val="00F54A54"/>
    <w:rsid w:val="00F554BF"/>
    <w:rsid w:val="00F56B9A"/>
    <w:rsid w:val="00F57169"/>
    <w:rsid w:val="00F61949"/>
    <w:rsid w:val="00F6371E"/>
    <w:rsid w:val="00F6722C"/>
    <w:rsid w:val="00F67B0E"/>
    <w:rsid w:val="00F7228C"/>
    <w:rsid w:val="00F74EBF"/>
    <w:rsid w:val="00F85EFE"/>
    <w:rsid w:val="00F86A2C"/>
    <w:rsid w:val="00F927D0"/>
    <w:rsid w:val="00F946D1"/>
    <w:rsid w:val="00F96372"/>
    <w:rsid w:val="00F97F8F"/>
    <w:rsid w:val="00FA1628"/>
    <w:rsid w:val="00FA2924"/>
    <w:rsid w:val="00FA64FB"/>
    <w:rsid w:val="00FA71D9"/>
    <w:rsid w:val="00FB4CFB"/>
    <w:rsid w:val="00FC21EA"/>
    <w:rsid w:val="00FC3CDB"/>
    <w:rsid w:val="00FD17C9"/>
    <w:rsid w:val="00FD67EF"/>
    <w:rsid w:val="00FD7E37"/>
    <w:rsid w:val="00FE0083"/>
    <w:rsid w:val="00FE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56"/>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56"/>
    <w:rPr>
      <w:rFonts w:ascii="Trebuchet MS" w:hAnsi="Trebuchet MS"/>
      <w:sz w:val="24"/>
      <w:szCs w:val="24"/>
      <w:lang w:eastAsia="en-US"/>
    </w:rPr>
  </w:style>
  <w:style w:type="paragraph" w:styleId="Heading1">
    <w:name w:val="heading 1"/>
    <w:basedOn w:val="Normal"/>
    <w:next w:val="Normal"/>
    <w:link w:val="Heading1Char"/>
    <w:qFormat/>
    <w:rsid w:val="00777C56"/>
    <w:pPr>
      <w:keepNext/>
      <w:jc w:val="both"/>
      <w:outlineLvl w:val="0"/>
    </w:pPr>
    <w:rPr>
      <w:b/>
      <w:bCs/>
      <w:sz w:val="22"/>
    </w:rPr>
  </w:style>
  <w:style w:type="paragraph" w:styleId="Heading2">
    <w:name w:val="heading 2"/>
    <w:basedOn w:val="Normal"/>
    <w:next w:val="Normal"/>
    <w:link w:val="Heading2Char"/>
    <w:qFormat/>
    <w:rsid w:val="00777C56"/>
    <w:pPr>
      <w:keepNext/>
      <w:outlineLvl w:val="1"/>
    </w:pPr>
    <w:rPr>
      <w:b/>
      <w:bCs/>
    </w:rPr>
  </w:style>
  <w:style w:type="paragraph" w:styleId="Heading6">
    <w:name w:val="heading 6"/>
    <w:basedOn w:val="Normal"/>
    <w:next w:val="Normal"/>
    <w:link w:val="Heading6Char"/>
    <w:uiPriority w:val="9"/>
    <w:semiHidden/>
    <w:unhideWhenUsed/>
    <w:qFormat/>
    <w:rsid w:val="00D81A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C56"/>
    <w:rPr>
      <w:rFonts w:ascii="Trebuchet MS" w:hAnsi="Trebuchet MS"/>
      <w:b/>
      <w:bCs/>
      <w:sz w:val="22"/>
      <w:szCs w:val="24"/>
      <w:lang w:eastAsia="en-US"/>
    </w:rPr>
  </w:style>
  <w:style w:type="character" w:customStyle="1" w:styleId="Heading2Char">
    <w:name w:val="Heading 2 Char"/>
    <w:basedOn w:val="DefaultParagraphFont"/>
    <w:link w:val="Heading2"/>
    <w:rsid w:val="00777C56"/>
    <w:rPr>
      <w:rFonts w:ascii="Trebuchet MS" w:hAnsi="Trebuchet MS"/>
      <w:b/>
      <w:bCs/>
      <w:sz w:val="24"/>
      <w:szCs w:val="24"/>
      <w:lang w:eastAsia="en-US"/>
    </w:rPr>
  </w:style>
  <w:style w:type="paragraph" w:styleId="BodyText2">
    <w:name w:val="Body Text 2"/>
    <w:basedOn w:val="Normal"/>
    <w:link w:val="BodyText2Char"/>
    <w:rsid w:val="00777C56"/>
    <w:rPr>
      <w:sz w:val="22"/>
    </w:rPr>
  </w:style>
  <w:style w:type="character" w:customStyle="1" w:styleId="BodyText2Char">
    <w:name w:val="Body Text 2 Char"/>
    <w:basedOn w:val="DefaultParagraphFont"/>
    <w:link w:val="BodyText2"/>
    <w:rsid w:val="00777C56"/>
    <w:rPr>
      <w:rFonts w:ascii="Trebuchet MS" w:hAnsi="Trebuchet MS"/>
      <w:sz w:val="22"/>
      <w:szCs w:val="24"/>
      <w:lang w:eastAsia="en-US"/>
    </w:rPr>
  </w:style>
  <w:style w:type="paragraph" w:customStyle="1" w:styleId="Default">
    <w:name w:val="Default"/>
    <w:rsid w:val="006C2B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0FF"/>
    <w:pPr>
      <w:ind w:left="720"/>
      <w:contextualSpacing/>
    </w:pPr>
  </w:style>
  <w:style w:type="paragraph" w:styleId="BodyText">
    <w:name w:val="Body Text"/>
    <w:basedOn w:val="Normal"/>
    <w:link w:val="BodyTextChar"/>
    <w:uiPriority w:val="99"/>
    <w:semiHidden/>
    <w:unhideWhenUsed/>
    <w:rsid w:val="00232F6D"/>
    <w:pPr>
      <w:spacing w:after="120"/>
    </w:pPr>
  </w:style>
  <w:style w:type="character" w:customStyle="1" w:styleId="BodyTextChar">
    <w:name w:val="Body Text Char"/>
    <w:basedOn w:val="DefaultParagraphFont"/>
    <w:link w:val="BodyText"/>
    <w:uiPriority w:val="99"/>
    <w:semiHidden/>
    <w:rsid w:val="00232F6D"/>
    <w:rPr>
      <w:rFonts w:ascii="Trebuchet MS" w:hAnsi="Trebuchet MS"/>
      <w:sz w:val="24"/>
      <w:szCs w:val="24"/>
      <w:lang w:eastAsia="en-US"/>
    </w:rPr>
  </w:style>
  <w:style w:type="character" w:customStyle="1" w:styleId="st1">
    <w:name w:val="st1"/>
    <w:basedOn w:val="DefaultParagraphFont"/>
    <w:rsid w:val="005E36A7"/>
  </w:style>
  <w:style w:type="paragraph" w:customStyle="1" w:styleId="CM74">
    <w:name w:val="CM74"/>
    <w:basedOn w:val="Default"/>
    <w:next w:val="Default"/>
    <w:uiPriority w:val="99"/>
    <w:rsid w:val="002C7264"/>
    <w:rPr>
      <w:rFonts w:ascii="Helvetica Neue" w:hAnsi="Helvetica Neue" w:cs="Times New Roman"/>
      <w:color w:val="auto"/>
    </w:rPr>
  </w:style>
  <w:style w:type="paragraph" w:customStyle="1" w:styleId="CM17">
    <w:name w:val="CM17"/>
    <w:basedOn w:val="Default"/>
    <w:next w:val="Default"/>
    <w:uiPriority w:val="99"/>
    <w:rsid w:val="002C7264"/>
    <w:pPr>
      <w:spacing w:line="258" w:lineRule="atLeast"/>
    </w:pPr>
    <w:rPr>
      <w:rFonts w:ascii="Helvetica Neue" w:hAnsi="Helvetica Neue" w:cs="Times New Roman"/>
      <w:color w:val="auto"/>
    </w:rPr>
  </w:style>
  <w:style w:type="paragraph" w:styleId="BodyText3">
    <w:name w:val="Body Text 3"/>
    <w:basedOn w:val="Normal"/>
    <w:link w:val="BodyText3Char"/>
    <w:uiPriority w:val="99"/>
    <w:semiHidden/>
    <w:unhideWhenUsed/>
    <w:rsid w:val="00563AD8"/>
    <w:pPr>
      <w:spacing w:after="120"/>
    </w:pPr>
    <w:rPr>
      <w:sz w:val="16"/>
      <w:szCs w:val="16"/>
    </w:rPr>
  </w:style>
  <w:style w:type="character" w:customStyle="1" w:styleId="BodyText3Char">
    <w:name w:val="Body Text 3 Char"/>
    <w:basedOn w:val="DefaultParagraphFont"/>
    <w:link w:val="BodyText3"/>
    <w:uiPriority w:val="99"/>
    <w:semiHidden/>
    <w:rsid w:val="00563AD8"/>
    <w:rPr>
      <w:rFonts w:ascii="Trebuchet MS" w:hAnsi="Trebuchet MS"/>
      <w:sz w:val="16"/>
      <w:szCs w:val="16"/>
      <w:lang w:eastAsia="en-US"/>
    </w:rPr>
  </w:style>
  <w:style w:type="paragraph" w:styleId="BalloonText">
    <w:name w:val="Balloon Text"/>
    <w:basedOn w:val="Normal"/>
    <w:link w:val="BalloonTextChar"/>
    <w:uiPriority w:val="99"/>
    <w:semiHidden/>
    <w:unhideWhenUsed/>
    <w:rsid w:val="00BF3969"/>
    <w:rPr>
      <w:rFonts w:ascii="Tahoma" w:hAnsi="Tahoma" w:cs="Tahoma"/>
      <w:sz w:val="16"/>
      <w:szCs w:val="16"/>
    </w:rPr>
  </w:style>
  <w:style w:type="character" w:customStyle="1" w:styleId="BalloonTextChar">
    <w:name w:val="Balloon Text Char"/>
    <w:basedOn w:val="DefaultParagraphFont"/>
    <w:link w:val="BalloonText"/>
    <w:uiPriority w:val="99"/>
    <w:semiHidden/>
    <w:rsid w:val="00BF3969"/>
    <w:rPr>
      <w:rFonts w:ascii="Tahoma" w:hAnsi="Tahoma" w:cs="Tahoma"/>
      <w:sz w:val="16"/>
      <w:szCs w:val="16"/>
      <w:lang w:eastAsia="en-US"/>
    </w:rPr>
  </w:style>
  <w:style w:type="paragraph" w:styleId="Header">
    <w:name w:val="header"/>
    <w:basedOn w:val="Normal"/>
    <w:link w:val="HeaderChar"/>
    <w:uiPriority w:val="99"/>
    <w:unhideWhenUsed/>
    <w:rsid w:val="0001084F"/>
    <w:pPr>
      <w:tabs>
        <w:tab w:val="center" w:pos="4513"/>
        <w:tab w:val="right" w:pos="9026"/>
      </w:tabs>
    </w:pPr>
  </w:style>
  <w:style w:type="character" w:customStyle="1" w:styleId="HeaderChar">
    <w:name w:val="Header Char"/>
    <w:basedOn w:val="DefaultParagraphFont"/>
    <w:link w:val="Header"/>
    <w:uiPriority w:val="99"/>
    <w:rsid w:val="0001084F"/>
    <w:rPr>
      <w:rFonts w:ascii="Trebuchet MS" w:hAnsi="Trebuchet MS"/>
      <w:sz w:val="24"/>
      <w:szCs w:val="24"/>
      <w:lang w:eastAsia="en-US"/>
    </w:rPr>
  </w:style>
  <w:style w:type="paragraph" w:styleId="Footer">
    <w:name w:val="footer"/>
    <w:basedOn w:val="Normal"/>
    <w:link w:val="FooterChar"/>
    <w:uiPriority w:val="99"/>
    <w:unhideWhenUsed/>
    <w:rsid w:val="0001084F"/>
    <w:pPr>
      <w:tabs>
        <w:tab w:val="center" w:pos="4513"/>
        <w:tab w:val="right" w:pos="9026"/>
      </w:tabs>
    </w:pPr>
  </w:style>
  <w:style w:type="character" w:customStyle="1" w:styleId="FooterChar">
    <w:name w:val="Footer Char"/>
    <w:basedOn w:val="DefaultParagraphFont"/>
    <w:link w:val="Footer"/>
    <w:uiPriority w:val="99"/>
    <w:rsid w:val="0001084F"/>
    <w:rPr>
      <w:rFonts w:ascii="Trebuchet MS" w:hAnsi="Trebuchet MS"/>
      <w:sz w:val="24"/>
      <w:szCs w:val="24"/>
      <w:lang w:eastAsia="en-US"/>
    </w:rPr>
  </w:style>
  <w:style w:type="character" w:customStyle="1" w:styleId="Heading6Char">
    <w:name w:val="Heading 6 Char"/>
    <w:basedOn w:val="DefaultParagraphFont"/>
    <w:link w:val="Heading6"/>
    <w:uiPriority w:val="9"/>
    <w:semiHidden/>
    <w:rsid w:val="00D81A02"/>
    <w:rPr>
      <w:rFonts w:asciiTheme="majorHAnsi" w:eastAsiaTheme="majorEastAsia" w:hAnsiTheme="majorHAnsi" w:cstheme="majorBidi"/>
      <w:i/>
      <w:iCs/>
      <w:color w:val="243F60" w:themeColor="accent1" w:themeShade="7F"/>
      <w:sz w:val="24"/>
      <w:szCs w:val="24"/>
      <w:lang w:eastAsia="en-US"/>
    </w:rPr>
  </w:style>
  <w:style w:type="paragraph" w:customStyle="1" w:styleId="CAPS">
    <w:name w:val="CAPS"/>
    <w:uiPriority w:val="99"/>
    <w:rsid w:val="007A5E13"/>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605">
      <w:bodyDiv w:val="1"/>
      <w:marLeft w:val="0"/>
      <w:marRight w:val="0"/>
      <w:marTop w:val="0"/>
      <w:marBottom w:val="0"/>
      <w:divBdr>
        <w:top w:val="none" w:sz="0" w:space="0" w:color="auto"/>
        <w:left w:val="none" w:sz="0" w:space="0" w:color="auto"/>
        <w:bottom w:val="none" w:sz="0" w:space="0" w:color="auto"/>
        <w:right w:val="none" w:sz="0" w:space="0" w:color="auto"/>
      </w:divBdr>
    </w:div>
    <w:div w:id="170683847">
      <w:bodyDiv w:val="1"/>
      <w:marLeft w:val="0"/>
      <w:marRight w:val="0"/>
      <w:marTop w:val="0"/>
      <w:marBottom w:val="0"/>
      <w:divBdr>
        <w:top w:val="none" w:sz="0" w:space="0" w:color="auto"/>
        <w:left w:val="none" w:sz="0" w:space="0" w:color="auto"/>
        <w:bottom w:val="none" w:sz="0" w:space="0" w:color="auto"/>
        <w:right w:val="none" w:sz="0" w:space="0" w:color="auto"/>
      </w:divBdr>
    </w:div>
    <w:div w:id="336420411">
      <w:bodyDiv w:val="1"/>
      <w:marLeft w:val="0"/>
      <w:marRight w:val="0"/>
      <w:marTop w:val="0"/>
      <w:marBottom w:val="0"/>
      <w:divBdr>
        <w:top w:val="none" w:sz="0" w:space="0" w:color="auto"/>
        <w:left w:val="none" w:sz="0" w:space="0" w:color="auto"/>
        <w:bottom w:val="none" w:sz="0" w:space="0" w:color="auto"/>
        <w:right w:val="none" w:sz="0" w:space="0" w:color="auto"/>
      </w:divBdr>
    </w:div>
    <w:div w:id="476918216">
      <w:bodyDiv w:val="1"/>
      <w:marLeft w:val="0"/>
      <w:marRight w:val="0"/>
      <w:marTop w:val="0"/>
      <w:marBottom w:val="0"/>
      <w:divBdr>
        <w:top w:val="none" w:sz="0" w:space="0" w:color="auto"/>
        <w:left w:val="none" w:sz="0" w:space="0" w:color="auto"/>
        <w:bottom w:val="none" w:sz="0" w:space="0" w:color="auto"/>
        <w:right w:val="none" w:sz="0" w:space="0" w:color="auto"/>
      </w:divBdr>
    </w:div>
    <w:div w:id="485049750">
      <w:bodyDiv w:val="1"/>
      <w:marLeft w:val="0"/>
      <w:marRight w:val="0"/>
      <w:marTop w:val="0"/>
      <w:marBottom w:val="0"/>
      <w:divBdr>
        <w:top w:val="none" w:sz="0" w:space="0" w:color="auto"/>
        <w:left w:val="none" w:sz="0" w:space="0" w:color="auto"/>
        <w:bottom w:val="none" w:sz="0" w:space="0" w:color="auto"/>
        <w:right w:val="none" w:sz="0" w:space="0" w:color="auto"/>
      </w:divBdr>
    </w:div>
    <w:div w:id="502085146">
      <w:bodyDiv w:val="1"/>
      <w:marLeft w:val="0"/>
      <w:marRight w:val="0"/>
      <w:marTop w:val="0"/>
      <w:marBottom w:val="0"/>
      <w:divBdr>
        <w:top w:val="none" w:sz="0" w:space="0" w:color="auto"/>
        <w:left w:val="none" w:sz="0" w:space="0" w:color="auto"/>
        <w:bottom w:val="none" w:sz="0" w:space="0" w:color="auto"/>
        <w:right w:val="none" w:sz="0" w:space="0" w:color="auto"/>
      </w:divBdr>
    </w:div>
    <w:div w:id="680933152">
      <w:bodyDiv w:val="1"/>
      <w:marLeft w:val="0"/>
      <w:marRight w:val="0"/>
      <w:marTop w:val="0"/>
      <w:marBottom w:val="0"/>
      <w:divBdr>
        <w:top w:val="none" w:sz="0" w:space="0" w:color="auto"/>
        <w:left w:val="none" w:sz="0" w:space="0" w:color="auto"/>
        <w:bottom w:val="none" w:sz="0" w:space="0" w:color="auto"/>
        <w:right w:val="none" w:sz="0" w:space="0" w:color="auto"/>
      </w:divBdr>
    </w:div>
    <w:div w:id="777676941">
      <w:bodyDiv w:val="1"/>
      <w:marLeft w:val="0"/>
      <w:marRight w:val="0"/>
      <w:marTop w:val="0"/>
      <w:marBottom w:val="0"/>
      <w:divBdr>
        <w:top w:val="none" w:sz="0" w:space="0" w:color="auto"/>
        <w:left w:val="none" w:sz="0" w:space="0" w:color="auto"/>
        <w:bottom w:val="none" w:sz="0" w:space="0" w:color="auto"/>
        <w:right w:val="none" w:sz="0" w:space="0" w:color="auto"/>
      </w:divBdr>
    </w:div>
    <w:div w:id="865682521">
      <w:bodyDiv w:val="1"/>
      <w:marLeft w:val="0"/>
      <w:marRight w:val="0"/>
      <w:marTop w:val="0"/>
      <w:marBottom w:val="0"/>
      <w:divBdr>
        <w:top w:val="none" w:sz="0" w:space="0" w:color="auto"/>
        <w:left w:val="none" w:sz="0" w:space="0" w:color="auto"/>
        <w:bottom w:val="none" w:sz="0" w:space="0" w:color="auto"/>
        <w:right w:val="none" w:sz="0" w:space="0" w:color="auto"/>
      </w:divBdr>
    </w:div>
    <w:div w:id="892738579">
      <w:bodyDiv w:val="1"/>
      <w:marLeft w:val="0"/>
      <w:marRight w:val="0"/>
      <w:marTop w:val="0"/>
      <w:marBottom w:val="0"/>
      <w:divBdr>
        <w:top w:val="none" w:sz="0" w:space="0" w:color="auto"/>
        <w:left w:val="none" w:sz="0" w:space="0" w:color="auto"/>
        <w:bottom w:val="none" w:sz="0" w:space="0" w:color="auto"/>
        <w:right w:val="none" w:sz="0" w:space="0" w:color="auto"/>
      </w:divBdr>
    </w:div>
    <w:div w:id="942566501">
      <w:bodyDiv w:val="1"/>
      <w:marLeft w:val="0"/>
      <w:marRight w:val="0"/>
      <w:marTop w:val="0"/>
      <w:marBottom w:val="0"/>
      <w:divBdr>
        <w:top w:val="none" w:sz="0" w:space="0" w:color="auto"/>
        <w:left w:val="none" w:sz="0" w:space="0" w:color="auto"/>
        <w:bottom w:val="none" w:sz="0" w:space="0" w:color="auto"/>
        <w:right w:val="none" w:sz="0" w:space="0" w:color="auto"/>
      </w:divBdr>
    </w:div>
    <w:div w:id="952715633">
      <w:bodyDiv w:val="1"/>
      <w:marLeft w:val="0"/>
      <w:marRight w:val="0"/>
      <w:marTop w:val="0"/>
      <w:marBottom w:val="0"/>
      <w:divBdr>
        <w:top w:val="none" w:sz="0" w:space="0" w:color="auto"/>
        <w:left w:val="none" w:sz="0" w:space="0" w:color="auto"/>
        <w:bottom w:val="none" w:sz="0" w:space="0" w:color="auto"/>
        <w:right w:val="none" w:sz="0" w:space="0" w:color="auto"/>
      </w:divBdr>
    </w:div>
    <w:div w:id="1032151941">
      <w:bodyDiv w:val="1"/>
      <w:marLeft w:val="0"/>
      <w:marRight w:val="0"/>
      <w:marTop w:val="0"/>
      <w:marBottom w:val="0"/>
      <w:divBdr>
        <w:top w:val="none" w:sz="0" w:space="0" w:color="auto"/>
        <w:left w:val="none" w:sz="0" w:space="0" w:color="auto"/>
        <w:bottom w:val="none" w:sz="0" w:space="0" w:color="auto"/>
        <w:right w:val="none" w:sz="0" w:space="0" w:color="auto"/>
      </w:divBdr>
      <w:divsChild>
        <w:div w:id="649288912">
          <w:marLeft w:val="0"/>
          <w:marRight w:val="0"/>
          <w:marTop w:val="0"/>
          <w:marBottom w:val="0"/>
          <w:divBdr>
            <w:top w:val="none" w:sz="0" w:space="0" w:color="auto"/>
            <w:left w:val="none" w:sz="0" w:space="0" w:color="auto"/>
            <w:bottom w:val="none" w:sz="0" w:space="0" w:color="auto"/>
            <w:right w:val="none" w:sz="0" w:space="0" w:color="auto"/>
          </w:divBdr>
          <w:divsChild>
            <w:div w:id="1830320071">
              <w:marLeft w:val="0"/>
              <w:marRight w:val="0"/>
              <w:marTop w:val="0"/>
              <w:marBottom w:val="0"/>
              <w:divBdr>
                <w:top w:val="none" w:sz="0" w:space="0" w:color="auto"/>
                <w:left w:val="none" w:sz="0" w:space="0" w:color="auto"/>
                <w:bottom w:val="none" w:sz="0" w:space="0" w:color="auto"/>
                <w:right w:val="none" w:sz="0" w:space="0" w:color="auto"/>
              </w:divBdr>
              <w:divsChild>
                <w:div w:id="2012953176">
                  <w:marLeft w:val="0"/>
                  <w:marRight w:val="0"/>
                  <w:marTop w:val="0"/>
                  <w:marBottom w:val="0"/>
                  <w:divBdr>
                    <w:top w:val="none" w:sz="0" w:space="0" w:color="auto"/>
                    <w:left w:val="none" w:sz="0" w:space="0" w:color="auto"/>
                    <w:bottom w:val="none" w:sz="0" w:space="0" w:color="auto"/>
                    <w:right w:val="none" w:sz="0" w:space="0" w:color="auto"/>
                  </w:divBdr>
                  <w:divsChild>
                    <w:div w:id="299698036">
                      <w:marLeft w:val="0"/>
                      <w:marRight w:val="0"/>
                      <w:marTop w:val="0"/>
                      <w:marBottom w:val="0"/>
                      <w:divBdr>
                        <w:top w:val="none" w:sz="0" w:space="0" w:color="auto"/>
                        <w:left w:val="none" w:sz="0" w:space="0" w:color="auto"/>
                        <w:bottom w:val="none" w:sz="0" w:space="0" w:color="auto"/>
                        <w:right w:val="none" w:sz="0" w:space="0" w:color="auto"/>
                      </w:divBdr>
                      <w:divsChild>
                        <w:div w:id="1532721381">
                          <w:marLeft w:val="0"/>
                          <w:marRight w:val="0"/>
                          <w:marTop w:val="0"/>
                          <w:marBottom w:val="0"/>
                          <w:divBdr>
                            <w:top w:val="none" w:sz="0" w:space="0" w:color="auto"/>
                            <w:left w:val="none" w:sz="0" w:space="0" w:color="auto"/>
                            <w:bottom w:val="none" w:sz="0" w:space="0" w:color="auto"/>
                            <w:right w:val="none" w:sz="0" w:space="0" w:color="auto"/>
                          </w:divBdr>
                          <w:divsChild>
                            <w:div w:id="1149632911">
                              <w:marLeft w:val="0"/>
                              <w:marRight w:val="0"/>
                              <w:marTop w:val="0"/>
                              <w:marBottom w:val="0"/>
                              <w:divBdr>
                                <w:top w:val="none" w:sz="0" w:space="0" w:color="auto"/>
                                <w:left w:val="none" w:sz="0" w:space="0" w:color="auto"/>
                                <w:bottom w:val="none" w:sz="0" w:space="0" w:color="auto"/>
                                <w:right w:val="none" w:sz="0" w:space="0" w:color="auto"/>
                              </w:divBdr>
                              <w:divsChild>
                                <w:div w:id="217321992">
                                  <w:marLeft w:val="0"/>
                                  <w:marRight w:val="0"/>
                                  <w:marTop w:val="0"/>
                                  <w:marBottom w:val="0"/>
                                  <w:divBdr>
                                    <w:top w:val="none" w:sz="0" w:space="0" w:color="auto"/>
                                    <w:left w:val="none" w:sz="0" w:space="0" w:color="auto"/>
                                    <w:bottom w:val="none" w:sz="0" w:space="0" w:color="auto"/>
                                    <w:right w:val="none" w:sz="0" w:space="0" w:color="auto"/>
                                  </w:divBdr>
                                  <w:divsChild>
                                    <w:div w:id="808015782">
                                      <w:marLeft w:val="0"/>
                                      <w:marRight w:val="0"/>
                                      <w:marTop w:val="0"/>
                                      <w:marBottom w:val="0"/>
                                      <w:divBdr>
                                        <w:top w:val="none" w:sz="0" w:space="0" w:color="auto"/>
                                        <w:left w:val="none" w:sz="0" w:space="0" w:color="auto"/>
                                        <w:bottom w:val="none" w:sz="0" w:space="0" w:color="auto"/>
                                        <w:right w:val="none" w:sz="0" w:space="0" w:color="auto"/>
                                      </w:divBdr>
                                      <w:divsChild>
                                        <w:div w:id="1232305008">
                                          <w:marLeft w:val="0"/>
                                          <w:marRight w:val="0"/>
                                          <w:marTop w:val="0"/>
                                          <w:marBottom w:val="0"/>
                                          <w:divBdr>
                                            <w:top w:val="none" w:sz="0" w:space="0" w:color="auto"/>
                                            <w:left w:val="none" w:sz="0" w:space="0" w:color="auto"/>
                                            <w:bottom w:val="none" w:sz="0" w:space="0" w:color="auto"/>
                                            <w:right w:val="none" w:sz="0" w:space="0" w:color="auto"/>
                                          </w:divBdr>
                                          <w:divsChild>
                                            <w:div w:id="463617711">
                                              <w:marLeft w:val="0"/>
                                              <w:marRight w:val="0"/>
                                              <w:marTop w:val="0"/>
                                              <w:marBottom w:val="0"/>
                                              <w:divBdr>
                                                <w:top w:val="none" w:sz="0" w:space="0" w:color="auto"/>
                                                <w:left w:val="none" w:sz="0" w:space="0" w:color="auto"/>
                                                <w:bottom w:val="none" w:sz="0" w:space="0" w:color="auto"/>
                                                <w:right w:val="none" w:sz="0" w:space="0" w:color="auto"/>
                                              </w:divBdr>
                                              <w:divsChild>
                                                <w:div w:id="1760322901">
                                                  <w:marLeft w:val="0"/>
                                                  <w:marRight w:val="0"/>
                                                  <w:marTop w:val="0"/>
                                                  <w:marBottom w:val="0"/>
                                                  <w:divBdr>
                                                    <w:top w:val="none" w:sz="0" w:space="0" w:color="auto"/>
                                                    <w:left w:val="none" w:sz="0" w:space="0" w:color="auto"/>
                                                    <w:bottom w:val="none" w:sz="0" w:space="0" w:color="auto"/>
                                                    <w:right w:val="none" w:sz="0" w:space="0" w:color="auto"/>
                                                  </w:divBdr>
                                                  <w:divsChild>
                                                    <w:div w:id="1531457208">
                                                      <w:marLeft w:val="0"/>
                                                      <w:marRight w:val="0"/>
                                                      <w:marTop w:val="0"/>
                                                      <w:marBottom w:val="0"/>
                                                      <w:divBdr>
                                                        <w:top w:val="none" w:sz="0" w:space="0" w:color="auto"/>
                                                        <w:left w:val="none" w:sz="0" w:space="0" w:color="auto"/>
                                                        <w:bottom w:val="none" w:sz="0" w:space="0" w:color="auto"/>
                                                        <w:right w:val="none" w:sz="0" w:space="0" w:color="auto"/>
                                                      </w:divBdr>
                                                      <w:divsChild>
                                                        <w:div w:id="1144544381">
                                                          <w:marLeft w:val="0"/>
                                                          <w:marRight w:val="0"/>
                                                          <w:marTop w:val="0"/>
                                                          <w:marBottom w:val="0"/>
                                                          <w:divBdr>
                                                            <w:top w:val="none" w:sz="0" w:space="0" w:color="auto"/>
                                                            <w:left w:val="none" w:sz="0" w:space="0" w:color="auto"/>
                                                            <w:bottom w:val="none" w:sz="0" w:space="0" w:color="auto"/>
                                                            <w:right w:val="none" w:sz="0" w:space="0" w:color="auto"/>
                                                          </w:divBdr>
                                                          <w:divsChild>
                                                            <w:div w:id="348680762">
                                                              <w:marLeft w:val="0"/>
                                                              <w:marRight w:val="0"/>
                                                              <w:marTop w:val="0"/>
                                                              <w:marBottom w:val="0"/>
                                                              <w:divBdr>
                                                                <w:top w:val="none" w:sz="0" w:space="0" w:color="auto"/>
                                                                <w:left w:val="none" w:sz="0" w:space="0" w:color="auto"/>
                                                                <w:bottom w:val="none" w:sz="0" w:space="0" w:color="auto"/>
                                                                <w:right w:val="none" w:sz="0" w:space="0" w:color="auto"/>
                                                              </w:divBdr>
                                                              <w:divsChild>
                                                                <w:div w:id="1751846016">
                                                                  <w:marLeft w:val="0"/>
                                                                  <w:marRight w:val="0"/>
                                                                  <w:marTop w:val="0"/>
                                                                  <w:marBottom w:val="0"/>
                                                                  <w:divBdr>
                                                                    <w:top w:val="none" w:sz="0" w:space="0" w:color="auto"/>
                                                                    <w:left w:val="none" w:sz="0" w:space="0" w:color="auto"/>
                                                                    <w:bottom w:val="none" w:sz="0" w:space="0" w:color="auto"/>
                                                                    <w:right w:val="none" w:sz="0" w:space="0" w:color="auto"/>
                                                                  </w:divBdr>
                                                                  <w:divsChild>
                                                                    <w:div w:id="89670443">
                                                                      <w:marLeft w:val="0"/>
                                                                      <w:marRight w:val="0"/>
                                                                      <w:marTop w:val="0"/>
                                                                      <w:marBottom w:val="0"/>
                                                                      <w:divBdr>
                                                                        <w:top w:val="none" w:sz="0" w:space="0" w:color="auto"/>
                                                                        <w:left w:val="none" w:sz="0" w:space="0" w:color="auto"/>
                                                                        <w:bottom w:val="none" w:sz="0" w:space="0" w:color="auto"/>
                                                                        <w:right w:val="none" w:sz="0" w:space="0" w:color="auto"/>
                                                                      </w:divBdr>
                                                                      <w:divsChild>
                                                                        <w:div w:id="2015107921">
                                                                          <w:marLeft w:val="0"/>
                                                                          <w:marRight w:val="0"/>
                                                                          <w:marTop w:val="0"/>
                                                                          <w:marBottom w:val="0"/>
                                                                          <w:divBdr>
                                                                            <w:top w:val="none" w:sz="0" w:space="0" w:color="auto"/>
                                                                            <w:left w:val="none" w:sz="0" w:space="0" w:color="auto"/>
                                                                            <w:bottom w:val="none" w:sz="0" w:space="0" w:color="auto"/>
                                                                            <w:right w:val="none" w:sz="0" w:space="0" w:color="auto"/>
                                                                          </w:divBdr>
                                                                          <w:divsChild>
                                                                            <w:div w:id="1657100421">
                                                                              <w:marLeft w:val="0"/>
                                                                              <w:marRight w:val="0"/>
                                                                              <w:marTop w:val="0"/>
                                                                              <w:marBottom w:val="0"/>
                                                                              <w:divBdr>
                                                                                <w:top w:val="none" w:sz="0" w:space="0" w:color="auto"/>
                                                                                <w:left w:val="none" w:sz="0" w:space="0" w:color="auto"/>
                                                                                <w:bottom w:val="none" w:sz="0" w:space="0" w:color="auto"/>
                                                                                <w:right w:val="none" w:sz="0" w:space="0" w:color="auto"/>
                                                                              </w:divBdr>
                                                                              <w:divsChild>
                                                                                <w:div w:id="2109739989">
                                                                                  <w:marLeft w:val="0"/>
                                                                                  <w:marRight w:val="0"/>
                                                                                  <w:marTop w:val="0"/>
                                                                                  <w:marBottom w:val="0"/>
                                                                                  <w:divBdr>
                                                                                    <w:top w:val="none" w:sz="0" w:space="0" w:color="auto"/>
                                                                                    <w:left w:val="none" w:sz="0" w:space="0" w:color="auto"/>
                                                                                    <w:bottom w:val="none" w:sz="0" w:space="0" w:color="auto"/>
                                                                                    <w:right w:val="none" w:sz="0" w:space="0" w:color="auto"/>
                                                                                  </w:divBdr>
                                                                                  <w:divsChild>
                                                                                    <w:div w:id="1199003978">
                                                                                      <w:marLeft w:val="0"/>
                                                                                      <w:marRight w:val="0"/>
                                                                                      <w:marTop w:val="0"/>
                                                                                      <w:marBottom w:val="0"/>
                                                                                      <w:divBdr>
                                                                                        <w:top w:val="none" w:sz="0" w:space="0" w:color="auto"/>
                                                                                        <w:left w:val="none" w:sz="0" w:space="0" w:color="auto"/>
                                                                                        <w:bottom w:val="none" w:sz="0" w:space="0" w:color="auto"/>
                                                                                        <w:right w:val="none" w:sz="0" w:space="0" w:color="auto"/>
                                                                                      </w:divBdr>
                                                                                      <w:divsChild>
                                                                                        <w:div w:id="1558979471">
                                                                                          <w:marLeft w:val="0"/>
                                                                                          <w:marRight w:val="0"/>
                                                                                          <w:marTop w:val="0"/>
                                                                                          <w:marBottom w:val="0"/>
                                                                                          <w:divBdr>
                                                                                            <w:top w:val="none" w:sz="0" w:space="0" w:color="auto"/>
                                                                                            <w:left w:val="none" w:sz="0" w:space="0" w:color="auto"/>
                                                                                            <w:bottom w:val="none" w:sz="0" w:space="0" w:color="auto"/>
                                                                                            <w:right w:val="none" w:sz="0" w:space="0" w:color="auto"/>
                                                                                          </w:divBdr>
                                                                                          <w:divsChild>
                                                                                            <w:div w:id="1467774419">
                                                                                              <w:marLeft w:val="300"/>
                                                                                              <w:marRight w:val="0"/>
                                                                                              <w:marTop w:val="0"/>
                                                                                              <w:marBottom w:val="0"/>
                                                                                              <w:divBdr>
                                                                                                <w:top w:val="none" w:sz="0" w:space="0" w:color="auto"/>
                                                                                                <w:left w:val="none" w:sz="0" w:space="0" w:color="auto"/>
                                                                                                <w:bottom w:val="none" w:sz="0" w:space="0" w:color="auto"/>
                                                                                                <w:right w:val="none" w:sz="0" w:space="0" w:color="auto"/>
                                                                                              </w:divBdr>
                                                                                              <w:divsChild>
                                                                                                <w:div w:id="681511509">
                                                                                                  <w:marLeft w:val="-300"/>
                                                                                                  <w:marRight w:val="0"/>
                                                                                                  <w:marTop w:val="0"/>
                                                                                                  <w:marBottom w:val="0"/>
                                                                                                  <w:divBdr>
                                                                                                    <w:top w:val="none" w:sz="0" w:space="0" w:color="auto"/>
                                                                                                    <w:left w:val="none" w:sz="0" w:space="0" w:color="auto"/>
                                                                                                    <w:bottom w:val="none" w:sz="0" w:space="0" w:color="auto"/>
                                                                                                    <w:right w:val="none" w:sz="0" w:space="0" w:color="auto"/>
                                                                                                  </w:divBdr>
                                                                                                  <w:divsChild>
                                                                                                    <w:div w:id="1276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258940">
      <w:bodyDiv w:val="1"/>
      <w:marLeft w:val="0"/>
      <w:marRight w:val="0"/>
      <w:marTop w:val="0"/>
      <w:marBottom w:val="0"/>
      <w:divBdr>
        <w:top w:val="none" w:sz="0" w:space="0" w:color="auto"/>
        <w:left w:val="none" w:sz="0" w:space="0" w:color="auto"/>
        <w:bottom w:val="none" w:sz="0" w:space="0" w:color="auto"/>
        <w:right w:val="none" w:sz="0" w:space="0" w:color="auto"/>
      </w:divBdr>
    </w:div>
    <w:div w:id="1095592465">
      <w:bodyDiv w:val="1"/>
      <w:marLeft w:val="0"/>
      <w:marRight w:val="0"/>
      <w:marTop w:val="0"/>
      <w:marBottom w:val="0"/>
      <w:divBdr>
        <w:top w:val="none" w:sz="0" w:space="0" w:color="auto"/>
        <w:left w:val="none" w:sz="0" w:space="0" w:color="auto"/>
        <w:bottom w:val="none" w:sz="0" w:space="0" w:color="auto"/>
        <w:right w:val="none" w:sz="0" w:space="0" w:color="auto"/>
      </w:divBdr>
    </w:div>
    <w:div w:id="1113984656">
      <w:bodyDiv w:val="1"/>
      <w:marLeft w:val="0"/>
      <w:marRight w:val="0"/>
      <w:marTop w:val="0"/>
      <w:marBottom w:val="0"/>
      <w:divBdr>
        <w:top w:val="none" w:sz="0" w:space="0" w:color="auto"/>
        <w:left w:val="none" w:sz="0" w:space="0" w:color="auto"/>
        <w:bottom w:val="none" w:sz="0" w:space="0" w:color="auto"/>
        <w:right w:val="none" w:sz="0" w:space="0" w:color="auto"/>
      </w:divBdr>
    </w:div>
    <w:div w:id="1298141642">
      <w:bodyDiv w:val="1"/>
      <w:marLeft w:val="0"/>
      <w:marRight w:val="0"/>
      <w:marTop w:val="0"/>
      <w:marBottom w:val="0"/>
      <w:divBdr>
        <w:top w:val="none" w:sz="0" w:space="0" w:color="auto"/>
        <w:left w:val="none" w:sz="0" w:space="0" w:color="auto"/>
        <w:bottom w:val="none" w:sz="0" w:space="0" w:color="auto"/>
        <w:right w:val="none" w:sz="0" w:space="0" w:color="auto"/>
      </w:divBdr>
    </w:div>
    <w:div w:id="1338121849">
      <w:bodyDiv w:val="1"/>
      <w:marLeft w:val="0"/>
      <w:marRight w:val="0"/>
      <w:marTop w:val="0"/>
      <w:marBottom w:val="0"/>
      <w:divBdr>
        <w:top w:val="none" w:sz="0" w:space="0" w:color="auto"/>
        <w:left w:val="none" w:sz="0" w:space="0" w:color="auto"/>
        <w:bottom w:val="none" w:sz="0" w:space="0" w:color="auto"/>
        <w:right w:val="none" w:sz="0" w:space="0" w:color="auto"/>
      </w:divBdr>
    </w:div>
    <w:div w:id="1457338110">
      <w:bodyDiv w:val="1"/>
      <w:marLeft w:val="0"/>
      <w:marRight w:val="0"/>
      <w:marTop w:val="0"/>
      <w:marBottom w:val="0"/>
      <w:divBdr>
        <w:top w:val="none" w:sz="0" w:space="0" w:color="auto"/>
        <w:left w:val="none" w:sz="0" w:space="0" w:color="auto"/>
        <w:bottom w:val="none" w:sz="0" w:space="0" w:color="auto"/>
        <w:right w:val="none" w:sz="0" w:space="0" w:color="auto"/>
      </w:divBdr>
    </w:div>
    <w:div w:id="1563636142">
      <w:bodyDiv w:val="1"/>
      <w:marLeft w:val="0"/>
      <w:marRight w:val="0"/>
      <w:marTop w:val="0"/>
      <w:marBottom w:val="0"/>
      <w:divBdr>
        <w:top w:val="none" w:sz="0" w:space="0" w:color="auto"/>
        <w:left w:val="none" w:sz="0" w:space="0" w:color="auto"/>
        <w:bottom w:val="none" w:sz="0" w:space="0" w:color="auto"/>
        <w:right w:val="none" w:sz="0" w:space="0" w:color="auto"/>
      </w:divBdr>
    </w:div>
    <w:div w:id="21320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D4C8-BCDE-4AF2-ADD9-AF82BFB9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FE8284AA</Template>
  <TotalTime>12</TotalTime>
  <Pages>8</Pages>
  <Words>2868</Words>
  <Characters>15504</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15-0889-FUL.docx</vt:lpstr>
      <vt:lpstr>Principle Policies:</vt:lpstr>
      <vt:lpstr>Relevant Site History:</vt:lpstr>
      <vt:lpstr>Representations Received:</vt:lpstr>
      <vt:lpstr>2 letters of objection were received, and the comments are summarised below:</vt:lpstr>
      <vt:lpstr>42 letters of both neutral comments and support were received, of which 18 conta</vt:lpstr>
      <vt:lpstr>Statutory Consultees: </vt:lpstr>
      <vt:lpstr>Historic England - Raising objection, for the following reasons: </vt:lpstr>
      <vt:lpstr>Oxfordshire Architectural &amp; Historical Society - Raising objection, for the foll</vt:lpstr>
      <vt:lpstr>Site Description:</vt:lpstr>
      <vt:lpstr>Proposed Development:</vt:lpstr>
      <vt:lpstr>This application seeks retrospective planning permission for a freestanding cano</vt:lpstr>
      <vt:lpstr/>
      <vt:lpstr>Officers Assessment:</vt:lpstr>
      <vt:lpstr>Conclusion</vt:lpstr>
      <vt:lpstr>Recommendation</vt:lpstr>
      <vt:lpstr>Informative:</vt:lpstr>
    </vt:vector>
  </TitlesOfParts>
  <Company>Reading Borough Council</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15-0889-FUL.docx</dc:title>
  <dc:creator>Rezaie, Mehdi</dc:creator>
  <cp:keywords>15-01733-FUL</cp:keywords>
  <cp:lastModifiedBy>mehdi.rezaie</cp:lastModifiedBy>
  <cp:revision>8</cp:revision>
  <cp:lastPrinted>2015-10-15T09:56:00Z</cp:lastPrinted>
  <dcterms:created xsi:type="dcterms:W3CDTF">2015-12-21T16:17:00Z</dcterms:created>
  <dcterms:modified xsi:type="dcterms:W3CDTF">2015-12-22T11:24:00Z</dcterms:modified>
</cp:coreProperties>
</file>